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1.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theme/themeOverride2.xml" ContentType="application/vnd.openxmlformats-officedocument.themeOverride+xml"/>
  <Override PartName="/word/charts/chart38.xml" ContentType="application/vnd.openxmlformats-officedocument.drawingml.chart+xml"/>
  <Override PartName="/word/theme/themeOverride3.xml" ContentType="application/vnd.openxmlformats-officedocument.themeOverride+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theme/themeOverride4.xml" ContentType="application/vnd.openxmlformats-officedocument.themeOverride+xml"/>
  <Override PartName="/word/charts/chart42.xml" ContentType="application/vnd.openxmlformats-officedocument.drawingml.chart+xml"/>
  <Override PartName="/word/charts/chart4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4711" w:rsidRDefault="00F84711">
      <w:pPr>
        <w:rPr>
          <w:rFonts w:ascii="Times New Roman" w:eastAsia="Times New Roman" w:hAnsi="Times New Roman" w:cs="Times New Roman"/>
          <w:sz w:val="20"/>
          <w:szCs w:val="24"/>
          <w:lang w:eastAsia="hr-HR"/>
        </w:rPr>
      </w:pPr>
    </w:p>
    <w:p w:rsidR="00F84711" w:rsidRDefault="00F84711">
      <w:pPr>
        <w:rPr>
          <w:rFonts w:ascii="Times New Roman" w:eastAsia="Times New Roman" w:hAnsi="Times New Roman" w:cs="Times New Roman"/>
          <w:sz w:val="20"/>
          <w:szCs w:val="24"/>
          <w:lang w:eastAsia="hr-HR"/>
        </w:rPr>
      </w:pPr>
    </w:p>
    <w:p w:rsidR="00F84711" w:rsidRDefault="00F84711">
      <w:pPr>
        <w:rPr>
          <w:rFonts w:ascii="Times New Roman" w:eastAsia="Times New Roman" w:hAnsi="Times New Roman" w:cs="Times New Roman"/>
          <w:sz w:val="20"/>
          <w:szCs w:val="24"/>
          <w:lang w:eastAsia="hr-HR"/>
        </w:rPr>
      </w:pPr>
    </w:p>
    <w:p w:rsidR="00F84711" w:rsidRDefault="00F84711">
      <w:pPr>
        <w:rPr>
          <w:rFonts w:ascii="Times New Roman" w:eastAsia="Times New Roman" w:hAnsi="Times New Roman" w:cs="Times New Roman"/>
          <w:sz w:val="20"/>
          <w:szCs w:val="24"/>
          <w:lang w:eastAsia="hr-HR"/>
        </w:rPr>
      </w:pPr>
    </w:p>
    <w:p w:rsidR="00F84711" w:rsidRDefault="00F84711">
      <w:pPr>
        <w:rPr>
          <w:rFonts w:ascii="Times New Roman" w:eastAsia="Times New Roman" w:hAnsi="Times New Roman" w:cs="Times New Roman"/>
          <w:sz w:val="20"/>
          <w:szCs w:val="24"/>
          <w:lang w:eastAsia="hr-HR"/>
        </w:rPr>
      </w:pPr>
    </w:p>
    <w:p w:rsidR="00F84711" w:rsidRDefault="00F84711">
      <w:pPr>
        <w:rPr>
          <w:rFonts w:ascii="Times New Roman" w:eastAsia="Times New Roman" w:hAnsi="Times New Roman" w:cs="Times New Roman"/>
          <w:sz w:val="20"/>
          <w:szCs w:val="24"/>
          <w:lang w:eastAsia="hr-HR"/>
        </w:rPr>
      </w:pPr>
    </w:p>
    <w:p w:rsidR="00F84711" w:rsidRDefault="00F84711" w:rsidP="00F84711">
      <w:pPr>
        <w:jc w:val="right"/>
        <w:rPr>
          <w:rFonts w:ascii="Times New Roman" w:eastAsia="Times New Roman" w:hAnsi="Times New Roman" w:cs="Times New Roman"/>
          <w:b/>
          <w:sz w:val="40"/>
          <w:szCs w:val="24"/>
          <w:lang w:eastAsia="hr-HR"/>
        </w:rPr>
      </w:pPr>
    </w:p>
    <w:p w:rsidR="00F84711" w:rsidRDefault="00F84711" w:rsidP="00F84711">
      <w:pPr>
        <w:jc w:val="right"/>
        <w:rPr>
          <w:rFonts w:ascii="Times New Roman" w:eastAsia="Times New Roman" w:hAnsi="Times New Roman" w:cs="Times New Roman"/>
          <w:b/>
          <w:sz w:val="40"/>
          <w:szCs w:val="24"/>
          <w:lang w:eastAsia="hr-HR"/>
        </w:rPr>
      </w:pPr>
    </w:p>
    <w:p w:rsidR="00F84711" w:rsidRPr="00F84711" w:rsidRDefault="00F84711" w:rsidP="00F84711">
      <w:pPr>
        <w:jc w:val="right"/>
        <w:rPr>
          <w:rFonts w:ascii="Corbel" w:eastAsia="Times New Roman" w:hAnsi="Corbel" w:cs="Times New Roman"/>
          <w:b/>
          <w:sz w:val="40"/>
          <w:szCs w:val="24"/>
          <w:lang w:eastAsia="hr-HR"/>
        </w:rPr>
      </w:pPr>
      <w:r w:rsidRPr="00F84711">
        <w:rPr>
          <w:rFonts w:ascii="Corbel" w:eastAsia="Times New Roman" w:hAnsi="Corbel" w:cs="Times New Roman"/>
          <w:b/>
          <w:sz w:val="40"/>
          <w:szCs w:val="24"/>
          <w:lang w:eastAsia="hr-HR"/>
        </w:rPr>
        <w:t xml:space="preserve">Prilog 2: Kompletna gospodarska analiza </w:t>
      </w:r>
      <w:r w:rsidRPr="00F84711">
        <w:rPr>
          <w:rFonts w:ascii="Corbel" w:eastAsia="Times New Roman" w:hAnsi="Corbel" w:cs="Times New Roman"/>
          <w:b/>
          <w:sz w:val="40"/>
          <w:szCs w:val="24"/>
          <w:lang w:eastAsia="hr-HR"/>
        </w:rPr>
        <w:br w:type="page"/>
      </w:r>
    </w:p>
    <w:p w:rsidR="00E16746" w:rsidRDefault="00E16746">
      <w:pPr>
        <w:rPr>
          <w:b/>
          <w:sz w:val="32"/>
        </w:rPr>
      </w:pPr>
      <w:r>
        <w:rPr>
          <w:b/>
          <w:sz w:val="32"/>
        </w:rPr>
        <w:lastRenderedPageBreak/>
        <w:t>SADRŽAJ</w:t>
      </w:r>
    </w:p>
    <w:p w:rsidR="00C1118F" w:rsidRDefault="00C1118F">
      <w:pPr>
        <w:pStyle w:val="Sadraj1"/>
        <w:tabs>
          <w:tab w:val="right" w:pos="9062"/>
        </w:tabs>
        <w:rPr>
          <w:rFonts w:eastAsiaTheme="minorEastAsia"/>
          <w:b w:val="0"/>
          <w:bCs w:val="0"/>
          <w:caps w:val="0"/>
          <w:noProof/>
          <w:u w:val="none"/>
          <w:lang w:eastAsia="hr-HR"/>
        </w:rPr>
      </w:pPr>
      <w:r>
        <w:rPr>
          <w:b w:val="0"/>
          <w:sz w:val="32"/>
        </w:rPr>
        <w:fldChar w:fldCharType="begin"/>
      </w:r>
      <w:r>
        <w:rPr>
          <w:b w:val="0"/>
          <w:sz w:val="32"/>
        </w:rPr>
        <w:instrText xml:space="preserve"> TOC \o "1-3" \h \z \u </w:instrText>
      </w:r>
      <w:r>
        <w:rPr>
          <w:b w:val="0"/>
          <w:sz w:val="32"/>
        </w:rPr>
        <w:fldChar w:fldCharType="separate"/>
      </w:r>
      <w:hyperlink w:anchor="_Toc351539728" w:history="1">
        <w:r w:rsidRPr="00D5026C">
          <w:rPr>
            <w:rStyle w:val="Hiperveza"/>
            <w:noProof/>
          </w:rPr>
          <w:t>1. Analiza osnovnih gospodarskih pokazatelja</w:t>
        </w:r>
        <w:r>
          <w:rPr>
            <w:noProof/>
            <w:webHidden/>
          </w:rPr>
          <w:tab/>
        </w:r>
        <w:r>
          <w:rPr>
            <w:noProof/>
            <w:webHidden/>
          </w:rPr>
          <w:fldChar w:fldCharType="begin"/>
        </w:r>
        <w:r>
          <w:rPr>
            <w:noProof/>
            <w:webHidden/>
          </w:rPr>
          <w:instrText xml:space="preserve"> PAGEREF _Toc351539728 \h </w:instrText>
        </w:r>
        <w:r>
          <w:rPr>
            <w:noProof/>
            <w:webHidden/>
          </w:rPr>
        </w:r>
        <w:r>
          <w:rPr>
            <w:noProof/>
            <w:webHidden/>
          </w:rPr>
          <w:fldChar w:fldCharType="separate"/>
        </w:r>
        <w:r>
          <w:rPr>
            <w:noProof/>
            <w:webHidden/>
          </w:rPr>
          <w:t>3</w:t>
        </w:r>
        <w:r>
          <w:rPr>
            <w:noProof/>
            <w:webHidden/>
          </w:rPr>
          <w:fldChar w:fldCharType="end"/>
        </w:r>
      </w:hyperlink>
    </w:p>
    <w:p w:rsidR="00C1118F" w:rsidRDefault="00C1118F" w:rsidP="00C1118F">
      <w:pPr>
        <w:pStyle w:val="Sadraj2"/>
        <w:rPr>
          <w:rFonts w:eastAsiaTheme="minorEastAsia"/>
          <w:b/>
          <w:lang w:eastAsia="hr-HR"/>
        </w:rPr>
      </w:pPr>
      <w:hyperlink w:anchor="_Toc351539729" w:history="1">
        <w:r w:rsidRPr="00D5026C">
          <w:rPr>
            <w:rStyle w:val="Hiperveza"/>
          </w:rPr>
          <w:t>1.1 Tržište rada u gradu Zadru</w:t>
        </w:r>
        <w:r>
          <w:rPr>
            <w:webHidden/>
          </w:rPr>
          <w:tab/>
        </w:r>
        <w:r>
          <w:rPr>
            <w:webHidden/>
          </w:rPr>
          <w:fldChar w:fldCharType="begin"/>
        </w:r>
        <w:r>
          <w:rPr>
            <w:webHidden/>
          </w:rPr>
          <w:instrText xml:space="preserve"> PAGEREF _Toc351539729 \h </w:instrText>
        </w:r>
        <w:r>
          <w:rPr>
            <w:webHidden/>
          </w:rPr>
        </w:r>
        <w:r>
          <w:rPr>
            <w:webHidden/>
          </w:rPr>
          <w:fldChar w:fldCharType="separate"/>
        </w:r>
        <w:r>
          <w:rPr>
            <w:webHidden/>
          </w:rPr>
          <w:t>6</w:t>
        </w:r>
        <w:r>
          <w:rPr>
            <w:webHidden/>
          </w:rPr>
          <w:fldChar w:fldCharType="end"/>
        </w:r>
      </w:hyperlink>
    </w:p>
    <w:p w:rsidR="00C1118F" w:rsidRDefault="00C1118F">
      <w:pPr>
        <w:pStyle w:val="Sadraj3"/>
        <w:tabs>
          <w:tab w:val="right" w:pos="9062"/>
        </w:tabs>
        <w:rPr>
          <w:rFonts w:eastAsiaTheme="minorEastAsia"/>
          <w:smallCaps w:val="0"/>
          <w:noProof/>
          <w:lang w:eastAsia="hr-HR"/>
        </w:rPr>
      </w:pPr>
      <w:hyperlink w:anchor="_Toc351539730" w:history="1">
        <w:r w:rsidRPr="00D5026C">
          <w:rPr>
            <w:rStyle w:val="Hiperveza"/>
            <w:noProof/>
          </w:rPr>
          <w:t>1.1.1 Zaposlenost</w:t>
        </w:r>
        <w:r>
          <w:rPr>
            <w:noProof/>
            <w:webHidden/>
          </w:rPr>
          <w:tab/>
        </w:r>
        <w:r>
          <w:rPr>
            <w:noProof/>
            <w:webHidden/>
          </w:rPr>
          <w:fldChar w:fldCharType="begin"/>
        </w:r>
        <w:r>
          <w:rPr>
            <w:noProof/>
            <w:webHidden/>
          </w:rPr>
          <w:instrText xml:space="preserve"> PAGEREF _Toc351539730 \h </w:instrText>
        </w:r>
        <w:r>
          <w:rPr>
            <w:noProof/>
            <w:webHidden/>
          </w:rPr>
        </w:r>
        <w:r>
          <w:rPr>
            <w:noProof/>
            <w:webHidden/>
          </w:rPr>
          <w:fldChar w:fldCharType="separate"/>
        </w:r>
        <w:r>
          <w:rPr>
            <w:noProof/>
            <w:webHidden/>
          </w:rPr>
          <w:t>6</w:t>
        </w:r>
        <w:r>
          <w:rPr>
            <w:noProof/>
            <w:webHidden/>
          </w:rPr>
          <w:fldChar w:fldCharType="end"/>
        </w:r>
      </w:hyperlink>
    </w:p>
    <w:p w:rsidR="00C1118F" w:rsidRDefault="00C1118F">
      <w:pPr>
        <w:pStyle w:val="Sadraj3"/>
        <w:tabs>
          <w:tab w:val="right" w:pos="9062"/>
        </w:tabs>
        <w:rPr>
          <w:rFonts w:eastAsiaTheme="minorEastAsia"/>
          <w:smallCaps w:val="0"/>
          <w:noProof/>
          <w:lang w:eastAsia="hr-HR"/>
        </w:rPr>
      </w:pPr>
      <w:hyperlink w:anchor="_Toc351539731" w:history="1">
        <w:r w:rsidRPr="00D5026C">
          <w:rPr>
            <w:rStyle w:val="Hiperveza"/>
            <w:noProof/>
          </w:rPr>
          <w:t>1.1.2. Nezaposlenost</w:t>
        </w:r>
        <w:r>
          <w:rPr>
            <w:noProof/>
            <w:webHidden/>
          </w:rPr>
          <w:tab/>
        </w:r>
        <w:r>
          <w:rPr>
            <w:noProof/>
            <w:webHidden/>
          </w:rPr>
          <w:fldChar w:fldCharType="begin"/>
        </w:r>
        <w:r>
          <w:rPr>
            <w:noProof/>
            <w:webHidden/>
          </w:rPr>
          <w:instrText xml:space="preserve"> PAGEREF _Toc351539731 \h </w:instrText>
        </w:r>
        <w:r>
          <w:rPr>
            <w:noProof/>
            <w:webHidden/>
          </w:rPr>
        </w:r>
        <w:r>
          <w:rPr>
            <w:noProof/>
            <w:webHidden/>
          </w:rPr>
          <w:fldChar w:fldCharType="separate"/>
        </w:r>
        <w:r>
          <w:rPr>
            <w:noProof/>
            <w:webHidden/>
          </w:rPr>
          <w:t>9</w:t>
        </w:r>
        <w:r>
          <w:rPr>
            <w:noProof/>
            <w:webHidden/>
          </w:rPr>
          <w:fldChar w:fldCharType="end"/>
        </w:r>
      </w:hyperlink>
    </w:p>
    <w:p w:rsidR="00C1118F" w:rsidRDefault="00C1118F">
      <w:pPr>
        <w:pStyle w:val="Sadraj3"/>
        <w:tabs>
          <w:tab w:val="right" w:pos="9062"/>
        </w:tabs>
        <w:rPr>
          <w:rFonts w:eastAsiaTheme="minorEastAsia"/>
          <w:smallCaps w:val="0"/>
          <w:noProof/>
          <w:lang w:eastAsia="hr-HR"/>
        </w:rPr>
      </w:pPr>
      <w:hyperlink w:anchor="_Toc351539732" w:history="1">
        <w:r w:rsidRPr="00D5026C">
          <w:rPr>
            <w:rStyle w:val="Hiperveza"/>
            <w:noProof/>
          </w:rPr>
          <w:t>1.1.3 PLAĆE</w:t>
        </w:r>
        <w:r>
          <w:rPr>
            <w:noProof/>
            <w:webHidden/>
          </w:rPr>
          <w:tab/>
        </w:r>
        <w:r>
          <w:rPr>
            <w:noProof/>
            <w:webHidden/>
          </w:rPr>
          <w:fldChar w:fldCharType="begin"/>
        </w:r>
        <w:r>
          <w:rPr>
            <w:noProof/>
            <w:webHidden/>
          </w:rPr>
          <w:instrText xml:space="preserve"> PAGEREF _Toc351539732 \h </w:instrText>
        </w:r>
        <w:r>
          <w:rPr>
            <w:noProof/>
            <w:webHidden/>
          </w:rPr>
        </w:r>
        <w:r>
          <w:rPr>
            <w:noProof/>
            <w:webHidden/>
          </w:rPr>
          <w:fldChar w:fldCharType="separate"/>
        </w:r>
        <w:r>
          <w:rPr>
            <w:noProof/>
            <w:webHidden/>
          </w:rPr>
          <w:t>15</w:t>
        </w:r>
        <w:r>
          <w:rPr>
            <w:noProof/>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33" w:history="1">
        <w:r w:rsidRPr="00D5026C">
          <w:rPr>
            <w:rStyle w:val="Hiperveza"/>
            <w:noProof/>
          </w:rPr>
          <w:t>2. Indeks prosperiteta</w:t>
        </w:r>
        <w:r>
          <w:rPr>
            <w:noProof/>
            <w:webHidden/>
          </w:rPr>
          <w:tab/>
        </w:r>
        <w:r>
          <w:rPr>
            <w:noProof/>
            <w:webHidden/>
          </w:rPr>
          <w:fldChar w:fldCharType="begin"/>
        </w:r>
        <w:r>
          <w:rPr>
            <w:noProof/>
            <w:webHidden/>
          </w:rPr>
          <w:instrText xml:space="preserve"> PAGEREF _Toc351539733 \h </w:instrText>
        </w:r>
        <w:r>
          <w:rPr>
            <w:noProof/>
            <w:webHidden/>
          </w:rPr>
        </w:r>
        <w:r>
          <w:rPr>
            <w:noProof/>
            <w:webHidden/>
          </w:rPr>
          <w:fldChar w:fldCharType="separate"/>
        </w:r>
        <w:r>
          <w:rPr>
            <w:noProof/>
            <w:webHidden/>
          </w:rPr>
          <w:t>21</w:t>
        </w:r>
        <w:r>
          <w:rPr>
            <w:noProof/>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34" w:history="1">
        <w:r w:rsidRPr="00D5026C">
          <w:rPr>
            <w:rStyle w:val="Hiperveza"/>
            <w:noProof/>
          </w:rPr>
          <w:t>3. Struktura gospodarstva</w:t>
        </w:r>
        <w:r>
          <w:rPr>
            <w:noProof/>
            <w:webHidden/>
          </w:rPr>
          <w:tab/>
        </w:r>
        <w:r>
          <w:rPr>
            <w:noProof/>
            <w:webHidden/>
          </w:rPr>
          <w:fldChar w:fldCharType="begin"/>
        </w:r>
        <w:r>
          <w:rPr>
            <w:noProof/>
            <w:webHidden/>
          </w:rPr>
          <w:instrText xml:space="preserve"> PAGEREF _Toc351539734 \h </w:instrText>
        </w:r>
        <w:r>
          <w:rPr>
            <w:noProof/>
            <w:webHidden/>
          </w:rPr>
        </w:r>
        <w:r>
          <w:rPr>
            <w:noProof/>
            <w:webHidden/>
          </w:rPr>
          <w:fldChar w:fldCharType="separate"/>
        </w:r>
        <w:r>
          <w:rPr>
            <w:noProof/>
            <w:webHidden/>
          </w:rPr>
          <w:t>23</w:t>
        </w:r>
        <w:r>
          <w:rPr>
            <w:noProof/>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35" w:history="1">
        <w:r w:rsidRPr="00D5026C">
          <w:rPr>
            <w:rStyle w:val="Hiperveza"/>
            <w:noProof/>
          </w:rPr>
          <w:t>4. Ocjena dinamike razvoja gospodarskih sektora grada Zadra</w:t>
        </w:r>
        <w:r>
          <w:rPr>
            <w:noProof/>
            <w:webHidden/>
          </w:rPr>
          <w:tab/>
        </w:r>
        <w:r>
          <w:rPr>
            <w:noProof/>
            <w:webHidden/>
          </w:rPr>
          <w:fldChar w:fldCharType="begin"/>
        </w:r>
        <w:r>
          <w:rPr>
            <w:noProof/>
            <w:webHidden/>
          </w:rPr>
          <w:instrText xml:space="preserve"> PAGEREF _Toc351539735 \h </w:instrText>
        </w:r>
        <w:r>
          <w:rPr>
            <w:noProof/>
            <w:webHidden/>
          </w:rPr>
        </w:r>
        <w:r>
          <w:rPr>
            <w:noProof/>
            <w:webHidden/>
          </w:rPr>
          <w:fldChar w:fldCharType="separate"/>
        </w:r>
        <w:r>
          <w:rPr>
            <w:noProof/>
            <w:webHidden/>
          </w:rPr>
          <w:t>27</w:t>
        </w:r>
        <w:r>
          <w:rPr>
            <w:noProof/>
            <w:webHidden/>
          </w:rPr>
          <w:fldChar w:fldCharType="end"/>
        </w:r>
      </w:hyperlink>
    </w:p>
    <w:p w:rsidR="00C1118F" w:rsidRDefault="00C1118F" w:rsidP="00C1118F">
      <w:pPr>
        <w:pStyle w:val="Sadraj2"/>
        <w:rPr>
          <w:rFonts w:eastAsiaTheme="minorEastAsia"/>
          <w:b/>
          <w:lang w:eastAsia="hr-HR"/>
        </w:rPr>
      </w:pPr>
      <w:hyperlink w:anchor="_Toc351539736" w:history="1">
        <w:r w:rsidRPr="00D5026C">
          <w:rPr>
            <w:rStyle w:val="Hiperveza"/>
          </w:rPr>
          <w:t>4.1 Analiza udjela (Shift-share)</w:t>
        </w:r>
        <w:r>
          <w:rPr>
            <w:webHidden/>
          </w:rPr>
          <w:tab/>
        </w:r>
        <w:r>
          <w:rPr>
            <w:webHidden/>
          </w:rPr>
          <w:fldChar w:fldCharType="begin"/>
        </w:r>
        <w:r>
          <w:rPr>
            <w:webHidden/>
          </w:rPr>
          <w:instrText xml:space="preserve"> PAGEREF _Toc351539736 \h </w:instrText>
        </w:r>
        <w:r>
          <w:rPr>
            <w:webHidden/>
          </w:rPr>
        </w:r>
        <w:r>
          <w:rPr>
            <w:webHidden/>
          </w:rPr>
          <w:fldChar w:fldCharType="separate"/>
        </w:r>
        <w:r>
          <w:rPr>
            <w:webHidden/>
          </w:rPr>
          <w:t>28</w:t>
        </w:r>
        <w:r>
          <w:rPr>
            <w:webHidden/>
          </w:rPr>
          <w:fldChar w:fldCharType="end"/>
        </w:r>
      </w:hyperlink>
    </w:p>
    <w:p w:rsidR="00C1118F" w:rsidRDefault="00C1118F" w:rsidP="00C1118F">
      <w:pPr>
        <w:pStyle w:val="Sadraj2"/>
        <w:rPr>
          <w:rFonts w:eastAsiaTheme="minorEastAsia"/>
          <w:b/>
          <w:lang w:eastAsia="hr-HR"/>
        </w:rPr>
      </w:pPr>
      <w:hyperlink w:anchor="_Toc351539737" w:history="1">
        <w:r w:rsidRPr="00D5026C">
          <w:rPr>
            <w:rStyle w:val="Hiperveza"/>
          </w:rPr>
          <w:t>4.2 KRETANJE GOSPODARSTVA U RECESIJI</w:t>
        </w:r>
        <w:r>
          <w:rPr>
            <w:webHidden/>
          </w:rPr>
          <w:tab/>
        </w:r>
        <w:r>
          <w:rPr>
            <w:webHidden/>
          </w:rPr>
          <w:fldChar w:fldCharType="begin"/>
        </w:r>
        <w:r>
          <w:rPr>
            <w:webHidden/>
          </w:rPr>
          <w:instrText xml:space="preserve"> PAGEREF _Toc351539737 \h </w:instrText>
        </w:r>
        <w:r>
          <w:rPr>
            <w:webHidden/>
          </w:rPr>
        </w:r>
        <w:r>
          <w:rPr>
            <w:webHidden/>
          </w:rPr>
          <w:fldChar w:fldCharType="separate"/>
        </w:r>
        <w:r>
          <w:rPr>
            <w:webHidden/>
          </w:rPr>
          <w:t>31</w:t>
        </w:r>
        <w:r>
          <w:rPr>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38" w:history="1">
        <w:r w:rsidRPr="00D5026C">
          <w:rPr>
            <w:rStyle w:val="Hiperveza"/>
            <w:noProof/>
          </w:rPr>
          <w:t>5. Robna razmjena s inozemstvom</w:t>
        </w:r>
        <w:r>
          <w:rPr>
            <w:noProof/>
            <w:webHidden/>
          </w:rPr>
          <w:tab/>
        </w:r>
        <w:r>
          <w:rPr>
            <w:noProof/>
            <w:webHidden/>
          </w:rPr>
          <w:fldChar w:fldCharType="begin"/>
        </w:r>
        <w:r>
          <w:rPr>
            <w:noProof/>
            <w:webHidden/>
          </w:rPr>
          <w:instrText xml:space="preserve"> PAGEREF _Toc351539738 \h </w:instrText>
        </w:r>
        <w:r>
          <w:rPr>
            <w:noProof/>
            <w:webHidden/>
          </w:rPr>
        </w:r>
        <w:r>
          <w:rPr>
            <w:noProof/>
            <w:webHidden/>
          </w:rPr>
          <w:fldChar w:fldCharType="separate"/>
        </w:r>
        <w:r>
          <w:rPr>
            <w:noProof/>
            <w:webHidden/>
          </w:rPr>
          <w:t>31</w:t>
        </w:r>
        <w:r>
          <w:rPr>
            <w:noProof/>
            <w:webHidden/>
          </w:rPr>
          <w:fldChar w:fldCharType="end"/>
        </w:r>
      </w:hyperlink>
    </w:p>
    <w:p w:rsidR="00C1118F" w:rsidRPr="00C1118F" w:rsidRDefault="00C1118F" w:rsidP="00C1118F">
      <w:pPr>
        <w:pStyle w:val="Sadraj2"/>
        <w:rPr>
          <w:rFonts w:eastAsiaTheme="minorEastAsia"/>
          <w:lang w:eastAsia="hr-HR"/>
        </w:rPr>
      </w:pPr>
      <w:hyperlink w:anchor="_Toc351539739" w:history="1">
        <w:r w:rsidRPr="00C1118F">
          <w:rPr>
            <w:rStyle w:val="Hiperveza"/>
          </w:rPr>
          <w:t>5.1. STRUKTURA IZVOZA</w:t>
        </w:r>
        <w:r w:rsidRPr="00C1118F">
          <w:rPr>
            <w:webHidden/>
          </w:rPr>
          <w:tab/>
        </w:r>
        <w:r w:rsidRPr="00C1118F">
          <w:rPr>
            <w:webHidden/>
          </w:rPr>
          <w:fldChar w:fldCharType="begin"/>
        </w:r>
        <w:r w:rsidRPr="00C1118F">
          <w:rPr>
            <w:webHidden/>
          </w:rPr>
          <w:instrText xml:space="preserve"> PAGEREF _Toc351539739 \h </w:instrText>
        </w:r>
        <w:r w:rsidRPr="00C1118F">
          <w:rPr>
            <w:webHidden/>
          </w:rPr>
        </w:r>
        <w:r w:rsidRPr="00C1118F">
          <w:rPr>
            <w:webHidden/>
          </w:rPr>
          <w:fldChar w:fldCharType="separate"/>
        </w:r>
        <w:r w:rsidRPr="00C1118F">
          <w:rPr>
            <w:webHidden/>
          </w:rPr>
          <w:t>35</w:t>
        </w:r>
        <w:r w:rsidRPr="00C1118F">
          <w:rPr>
            <w:webHidden/>
          </w:rPr>
          <w:fldChar w:fldCharType="end"/>
        </w:r>
      </w:hyperlink>
    </w:p>
    <w:p w:rsidR="00C1118F" w:rsidRDefault="00C1118F" w:rsidP="00C1118F">
      <w:pPr>
        <w:pStyle w:val="Sadraj2"/>
        <w:rPr>
          <w:rFonts w:eastAsiaTheme="minorEastAsia"/>
          <w:b/>
          <w:lang w:eastAsia="hr-HR"/>
        </w:rPr>
      </w:pPr>
      <w:hyperlink w:anchor="_Toc351539740" w:history="1">
        <w:r w:rsidRPr="00D5026C">
          <w:rPr>
            <w:rStyle w:val="Hiperveza"/>
          </w:rPr>
          <w:t>5.2. Zaposleni u izvozu (multiplikator zaposlenosti)</w:t>
        </w:r>
        <w:r>
          <w:rPr>
            <w:webHidden/>
          </w:rPr>
          <w:tab/>
        </w:r>
        <w:r>
          <w:rPr>
            <w:webHidden/>
          </w:rPr>
          <w:fldChar w:fldCharType="begin"/>
        </w:r>
        <w:r>
          <w:rPr>
            <w:webHidden/>
          </w:rPr>
          <w:instrText xml:space="preserve"> PAGEREF _Toc351539740 \h </w:instrText>
        </w:r>
        <w:r>
          <w:rPr>
            <w:webHidden/>
          </w:rPr>
        </w:r>
        <w:r>
          <w:rPr>
            <w:webHidden/>
          </w:rPr>
          <w:fldChar w:fldCharType="separate"/>
        </w:r>
        <w:r>
          <w:rPr>
            <w:webHidden/>
          </w:rPr>
          <w:t>38</w:t>
        </w:r>
        <w:r>
          <w:rPr>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41" w:history="1">
        <w:r w:rsidRPr="00D5026C">
          <w:rPr>
            <w:rStyle w:val="Hiperveza"/>
            <w:noProof/>
          </w:rPr>
          <w:t>6. INVESTICIJE</w:t>
        </w:r>
        <w:r>
          <w:rPr>
            <w:noProof/>
            <w:webHidden/>
          </w:rPr>
          <w:tab/>
        </w:r>
        <w:r>
          <w:rPr>
            <w:noProof/>
            <w:webHidden/>
          </w:rPr>
          <w:fldChar w:fldCharType="begin"/>
        </w:r>
        <w:r>
          <w:rPr>
            <w:noProof/>
            <w:webHidden/>
          </w:rPr>
          <w:instrText xml:space="preserve"> PAGEREF _Toc351539741 \h </w:instrText>
        </w:r>
        <w:r>
          <w:rPr>
            <w:noProof/>
            <w:webHidden/>
          </w:rPr>
        </w:r>
        <w:r>
          <w:rPr>
            <w:noProof/>
            <w:webHidden/>
          </w:rPr>
          <w:fldChar w:fldCharType="separate"/>
        </w:r>
        <w:r>
          <w:rPr>
            <w:noProof/>
            <w:webHidden/>
          </w:rPr>
          <w:t>39</w:t>
        </w:r>
        <w:r>
          <w:rPr>
            <w:noProof/>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42" w:history="1">
        <w:r w:rsidRPr="00D5026C">
          <w:rPr>
            <w:rStyle w:val="Hiperveza"/>
            <w:noProof/>
          </w:rPr>
          <w:t>7. Malo i srednje poduzetništvo</w:t>
        </w:r>
        <w:r>
          <w:rPr>
            <w:noProof/>
            <w:webHidden/>
          </w:rPr>
          <w:tab/>
        </w:r>
        <w:r>
          <w:rPr>
            <w:noProof/>
            <w:webHidden/>
          </w:rPr>
          <w:fldChar w:fldCharType="begin"/>
        </w:r>
        <w:r>
          <w:rPr>
            <w:noProof/>
            <w:webHidden/>
          </w:rPr>
          <w:instrText xml:space="preserve"> PAGEREF _Toc351539742 \h </w:instrText>
        </w:r>
        <w:r>
          <w:rPr>
            <w:noProof/>
            <w:webHidden/>
          </w:rPr>
        </w:r>
        <w:r>
          <w:rPr>
            <w:noProof/>
            <w:webHidden/>
          </w:rPr>
          <w:fldChar w:fldCharType="separate"/>
        </w:r>
        <w:r>
          <w:rPr>
            <w:noProof/>
            <w:webHidden/>
          </w:rPr>
          <w:t>42</w:t>
        </w:r>
        <w:r>
          <w:rPr>
            <w:noProof/>
            <w:webHidden/>
          </w:rPr>
          <w:fldChar w:fldCharType="end"/>
        </w:r>
      </w:hyperlink>
    </w:p>
    <w:p w:rsidR="00C1118F" w:rsidRDefault="00C1118F" w:rsidP="00C1118F">
      <w:pPr>
        <w:pStyle w:val="Sadraj2"/>
        <w:rPr>
          <w:rFonts w:eastAsiaTheme="minorEastAsia"/>
          <w:b/>
          <w:lang w:eastAsia="hr-HR"/>
        </w:rPr>
      </w:pPr>
      <w:hyperlink w:anchor="_Toc351539743" w:history="1">
        <w:r w:rsidRPr="00D5026C">
          <w:rPr>
            <w:rStyle w:val="Hiperveza"/>
          </w:rPr>
          <w:t>7.1. Temeljni financijski pokazatelji poduzetnika</w:t>
        </w:r>
        <w:r>
          <w:rPr>
            <w:webHidden/>
          </w:rPr>
          <w:tab/>
        </w:r>
        <w:r>
          <w:rPr>
            <w:webHidden/>
          </w:rPr>
          <w:fldChar w:fldCharType="begin"/>
        </w:r>
        <w:r>
          <w:rPr>
            <w:webHidden/>
          </w:rPr>
          <w:instrText xml:space="preserve"> PAGEREF _Toc351539743 \h </w:instrText>
        </w:r>
        <w:r>
          <w:rPr>
            <w:webHidden/>
          </w:rPr>
        </w:r>
        <w:r>
          <w:rPr>
            <w:webHidden/>
          </w:rPr>
          <w:fldChar w:fldCharType="separate"/>
        </w:r>
        <w:r>
          <w:rPr>
            <w:webHidden/>
          </w:rPr>
          <w:t>43</w:t>
        </w:r>
        <w:r>
          <w:rPr>
            <w:webHidden/>
          </w:rPr>
          <w:fldChar w:fldCharType="end"/>
        </w:r>
      </w:hyperlink>
    </w:p>
    <w:p w:rsidR="00C1118F" w:rsidRDefault="00C1118F" w:rsidP="00C1118F">
      <w:pPr>
        <w:pStyle w:val="Sadraj2"/>
        <w:rPr>
          <w:rFonts w:eastAsiaTheme="minorEastAsia"/>
          <w:b/>
          <w:lang w:eastAsia="hr-HR"/>
        </w:rPr>
      </w:pPr>
      <w:hyperlink w:anchor="_Toc351539744" w:history="1">
        <w:r w:rsidRPr="00D5026C">
          <w:rPr>
            <w:rStyle w:val="Hiperveza"/>
          </w:rPr>
          <w:t>7.2. Pregled blokiranih poslovnih subjekata (Neizvršena plaćanja)</w:t>
        </w:r>
        <w:r>
          <w:rPr>
            <w:webHidden/>
          </w:rPr>
          <w:tab/>
        </w:r>
        <w:r>
          <w:rPr>
            <w:webHidden/>
          </w:rPr>
          <w:fldChar w:fldCharType="begin"/>
        </w:r>
        <w:r>
          <w:rPr>
            <w:webHidden/>
          </w:rPr>
          <w:instrText xml:space="preserve"> PAGEREF _Toc351539744 \h </w:instrText>
        </w:r>
        <w:r>
          <w:rPr>
            <w:webHidden/>
          </w:rPr>
        </w:r>
        <w:r>
          <w:rPr>
            <w:webHidden/>
          </w:rPr>
          <w:fldChar w:fldCharType="separate"/>
        </w:r>
        <w:r>
          <w:rPr>
            <w:webHidden/>
          </w:rPr>
          <w:t>45</w:t>
        </w:r>
        <w:r>
          <w:rPr>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45" w:history="1">
        <w:r w:rsidRPr="00D5026C">
          <w:rPr>
            <w:rStyle w:val="Hiperveza"/>
            <w:noProof/>
          </w:rPr>
          <w:t>8. OBRTNIŠTVO</w:t>
        </w:r>
        <w:r>
          <w:rPr>
            <w:noProof/>
            <w:webHidden/>
          </w:rPr>
          <w:tab/>
        </w:r>
        <w:r>
          <w:rPr>
            <w:noProof/>
            <w:webHidden/>
          </w:rPr>
          <w:fldChar w:fldCharType="begin"/>
        </w:r>
        <w:r>
          <w:rPr>
            <w:noProof/>
            <w:webHidden/>
          </w:rPr>
          <w:instrText xml:space="preserve"> PAGEREF _Toc351539745 \h </w:instrText>
        </w:r>
        <w:r>
          <w:rPr>
            <w:noProof/>
            <w:webHidden/>
          </w:rPr>
        </w:r>
        <w:r>
          <w:rPr>
            <w:noProof/>
            <w:webHidden/>
          </w:rPr>
          <w:fldChar w:fldCharType="separate"/>
        </w:r>
        <w:r>
          <w:rPr>
            <w:noProof/>
            <w:webHidden/>
          </w:rPr>
          <w:t>47</w:t>
        </w:r>
        <w:r>
          <w:rPr>
            <w:noProof/>
            <w:webHidden/>
          </w:rPr>
          <w:fldChar w:fldCharType="end"/>
        </w:r>
      </w:hyperlink>
    </w:p>
    <w:p w:rsidR="00C1118F" w:rsidRDefault="00C1118F">
      <w:pPr>
        <w:pStyle w:val="Sadraj1"/>
        <w:tabs>
          <w:tab w:val="right" w:pos="9062"/>
        </w:tabs>
        <w:rPr>
          <w:rFonts w:eastAsiaTheme="minorEastAsia"/>
          <w:b w:val="0"/>
          <w:bCs w:val="0"/>
          <w:caps w:val="0"/>
          <w:noProof/>
          <w:u w:val="none"/>
          <w:lang w:eastAsia="hr-HR"/>
        </w:rPr>
      </w:pPr>
      <w:hyperlink w:anchor="_Toc351539746" w:history="1">
        <w:r w:rsidRPr="00D5026C">
          <w:rPr>
            <w:rStyle w:val="Hiperveza"/>
            <w:noProof/>
          </w:rPr>
          <w:t>Bibliografija</w:t>
        </w:r>
        <w:r>
          <w:rPr>
            <w:noProof/>
            <w:webHidden/>
          </w:rPr>
          <w:tab/>
        </w:r>
        <w:r>
          <w:rPr>
            <w:noProof/>
            <w:webHidden/>
          </w:rPr>
          <w:fldChar w:fldCharType="begin"/>
        </w:r>
        <w:r>
          <w:rPr>
            <w:noProof/>
            <w:webHidden/>
          </w:rPr>
          <w:instrText xml:space="preserve"> PAGEREF _Toc351539746 \h </w:instrText>
        </w:r>
        <w:r>
          <w:rPr>
            <w:noProof/>
            <w:webHidden/>
          </w:rPr>
        </w:r>
        <w:r>
          <w:rPr>
            <w:noProof/>
            <w:webHidden/>
          </w:rPr>
          <w:fldChar w:fldCharType="separate"/>
        </w:r>
        <w:r>
          <w:rPr>
            <w:noProof/>
            <w:webHidden/>
          </w:rPr>
          <w:t>55</w:t>
        </w:r>
        <w:r>
          <w:rPr>
            <w:noProof/>
            <w:webHidden/>
          </w:rPr>
          <w:fldChar w:fldCharType="end"/>
        </w:r>
      </w:hyperlink>
    </w:p>
    <w:p w:rsidR="00926B73" w:rsidRDefault="00C1118F">
      <w:pPr>
        <w:rPr>
          <w:b/>
          <w:sz w:val="32"/>
        </w:rPr>
      </w:pPr>
      <w:r>
        <w:rPr>
          <w:b/>
          <w:sz w:val="32"/>
        </w:rPr>
        <w:fldChar w:fldCharType="end"/>
      </w:r>
      <w:r w:rsidR="00926B73">
        <w:rPr>
          <w:b/>
          <w:sz w:val="32"/>
        </w:rPr>
        <w:br w:type="page"/>
      </w:r>
    </w:p>
    <w:p w:rsidR="00FA09B0" w:rsidRPr="00180DE2" w:rsidRDefault="00FA09B0" w:rsidP="002E1FED">
      <w:pPr>
        <w:shd w:val="clear" w:color="auto" w:fill="A6A6A6" w:themeFill="background1" w:themeFillShade="A6"/>
        <w:rPr>
          <w:b/>
          <w:sz w:val="32"/>
        </w:rPr>
      </w:pPr>
      <w:r w:rsidRPr="00180DE2">
        <w:rPr>
          <w:b/>
          <w:sz w:val="32"/>
        </w:rPr>
        <w:lastRenderedPageBreak/>
        <w:t>GOSPODARSTVO</w:t>
      </w:r>
    </w:p>
    <w:p w:rsidR="00FA09B0" w:rsidRPr="002B107D" w:rsidRDefault="00FA09B0" w:rsidP="002E1FED">
      <w:pPr>
        <w:pStyle w:val="Naslov1"/>
        <w:spacing w:after="240"/>
      </w:pPr>
      <w:bookmarkStart w:id="0" w:name="_Toc351539728"/>
      <w:r w:rsidRPr="002B107D">
        <w:t xml:space="preserve">1. </w:t>
      </w:r>
      <w:r w:rsidR="00CB65B4" w:rsidRPr="002B107D">
        <w:t>Analiza o</w:t>
      </w:r>
      <w:r w:rsidRPr="002B107D">
        <w:t>snovni</w:t>
      </w:r>
      <w:r w:rsidR="00CB65B4" w:rsidRPr="002B107D">
        <w:t>h</w:t>
      </w:r>
      <w:r w:rsidRPr="002B107D">
        <w:t xml:space="preserve"> gospodarski</w:t>
      </w:r>
      <w:r w:rsidR="00CB65B4" w:rsidRPr="002B107D">
        <w:t>h</w:t>
      </w:r>
      <w:r w:rsidR="00CB2C26" w:rsidRPr="002B107D">
        <w:t xml:space="preserve"> pokazatelja</w:t>
      </w:r>
      <w:bookmarkEnd w:id="0"/>
    </w:p>
    <w:p w:rsidR="00FA09B0" w:rsidRPr="002B107D" w:rsidRDefault="00F013AD" w:rsidP="002B107D">
      <w:pPr>
        <w:spacing w:line="240" w:lineRule="auto"/>
        <w:jc w:val="both"/>
        <w:rPr>
          <w:rFonts w:ascii="Corbel" w:hAnsi="Corbel" w:cs="Times New Roman"/>
        </w:rPr>
      </w:pPr>
      <w:r w:rsidRPr="002B107D">
        <w:rPr>
          <w:rFonts w:ascii="Corbel" w:hAnsi="Corbel" w:cs="Times New Roman"/>
        </w:rPr>
        <w:t xml:space="preserve">Prvi dio analize uključuje analizu bruto društvenog proizvoda tj. </w:t>
      </w:r>
      <w:r w:rsidR="007158FE" w:rsidRPr="002B107D">
        <w:rPr>
          <w:rFonts w:ascii="Corbel" w:hAnsi="Corbel" w:cs="Times New Roman"/>
        </w:rPr>
        <w:t xml:space="preserve">sposobnosti </w:t>
      </w:r>
      <w:r w:rsidRPr="002B107D">
        <w:rPr>
          <w:rFonts w:ascii="Corbel" w:hAnsi="Corbel" w:cs="Times New Roman"/>
        </w:rPr>
        <w:t xml:space="preserve"> gospodarstva </w:t>
      </w:r>
      <w:r w:rsidR="00EF5C00" w:rsidRPr="002B107D">
        <w:rPr>
          <w:rFonts w:ascii="Corbel" w:hAnsi="Corbel" w:cs="Times New Roman"/>
        </w:rPr>
        <w:t>da stvori</w:t>
      </w:r>
      <w:r w:rsidRPr="002B107D">
        <w:rPr>
          <w:rFonts w:ascii="Corbel" w:hAnsi="Corbel" w:cs="Times New Roman"/>
        </w:rPr>
        <w:t xml:space="preserve"> </w:t>
      </w:r>
      <w:r w:rsidR="00EF5C00" w:rsidRPr="002B107D">
        <w:rPr>
          <w:rFonts w:ascii="Corbel" w:hAnsi="Corbel" w:cs="Times New Roman"/>
        </w:rPr>
        <w:t>finalna</w:t>
      </w:r>
      <w:r w:rsidR="002B4414" w:rsidRPr="002B107D">
        <w:rPr>
          <w:rFonts w:ascii="Corbel" w:hAnsi="Corbel" w:cs="Times New Roman"/>
        </w:rPr>
        <w:t xml:space="preserve"> dobara i usluge</w:t>
      </w:r>
      <w:r w:rsidRPr="002B107D">
        <w:rPr>
          <w:rFonts w:ascii="Corbel" w:hAnsi="Corbel" w:cs="Times New Roman"/>
        </w:rPr>
        <w:t>.</w:t>
      </w:r>
      <w:r w:rsidR="007158FE" w:rsidRPr="002B107D">
        <w:rPr>
          <w:rFonts w:ascii="Corbel" w:hAnsi="Corbel" w:cs="Times New Roman"/>
        </w:rPr>
        <w:t xml:space="preserve"> Budući da ne raspolažemo podacima o BDP-u za grad Zadar razmotriti ćemo promjene u društvenom proizvodu</w:t>
      </w:r>
      <w:r w:rsidR="004E2C83" w:rsidRPr="002B107D">
        <w:rPr>
          <w:rFonts w:ascii="Corbel" w:hAnsi="Corbel" w:cs="Times New Roman"/>
        </w:rPr>
        <w:t xml:space="preserve"> za područje Zadarske županije te ih usporediti sa BDP-om osta</w:t>
      </w:r>
      <w:r w:rsidR="00D1289B" w:rsidRPr="002B107D">
        <w:rPr>
          <w:rFonts w:ascii="Corbel" w:hAnsi="Corbel" w:cs="Times New Roman"/>
        </w:rPr>
        <w:t xml:space="preserve">lih županija RH, a posebno županija </w:t>
      </w:r>
      <w:r w:rsidR="004E2C83" w:rsidRPr="002B107D">
        <w:rPr>
          <w:rFonts w:ascii="Corbel" w:hAnsi="Corbel" w:cs="Times New Roman"/>
        </w:rPr>
        <w:t>Jadranske Hrvatske jer su</w:t>
      </w:r>
      <w:r w:rsidR="008D00BF" w:rsidRPr="002B107D">
        <w:rPr>
          <w:rFonts w:ascii="Corbel" w:hAnsi="Corbel" w:cs="Times New Roman"/>
        </w:rPr>
        <w:t xml:space="preserve"> te županije</w:t>
      </w:r>
      <w:r w:rsidR="004E2C83" w:rsidRPr="002B107D">
        <w:rPr>
          <w:rFonts w:ascii="Corbel" w:hAnsi="Corbel" w:cs="Times New Roman"/>
        </w:rPr>
        <w:t xml:space="preserve"> prema strukturi gospodarstva sličnije </w:t>
      </w:r>
      <w:r w:rsidR="002B4414" w:rsidRPr="002B107D">
        <w:rPr>
          <w:rFonts w:ascii="Corbel" w:hAnsi="Corbel" w:cs="Times New Roman"/>
        </w:rPr>
        <w:t>Zadarskoj županiji</w:t>
      </w:r>
      <w:r w:rsidR="008D00BF" w:rsidRPr="002B107D">
        <w:rPr>
          <w:rFonts w:ascii="Corbel" w:hAnsi="Corbel" w:cs="Times New Roman"/>
        </w:rPr>
        <w:t xml:space="preserve"> od ostatka RH.</w:t>
      </w:r>
    </w:p>
    <w:p w:rsidR="00D44E2F" w:rsidRPr="002B107D" w:rsidRDefault="00D44E2F" w:rsidP="002B107D">
      <w:pPr>
        <w:spacing w:line="240" w:lineRule="auto"/>
        <w:jc w:val="both"/>
        <w:rPr>
          <w:rFonts w:ascii="Corbel" w:hAnsi="Corbel" w:cs="Times New Roman"/>
        </w:rPr>
      </w:pPr>
      <w:r w:rsidRPr="002B107D">
        <w:rPr>
          <w:rFonts w:ascii="Corbel" w:hAnsi="Corbel" w:cs="Times New Roman"/>
        </w:rPr>
        <w:t xml:space="preserve">U strukturi BDP-a RH najveći udio u </w:t>
      </w:r>
      <w:r w:rsidR="00E85B25" w:rsidRPr="002B107D">
        <w:rPr>
          <w:rFonts w:ascii="Corbel" w:hAnsi="Corbel" w:cs="Times New Roman"/>
        </w:rPr>
        <w:t xml:space="preserve">BDP-u </w:t>
      </w:r>
      <w:r w:rsidRPr="002B107D">
        <w:rPr>
          <w:rFonts w:ascii="Corbel" w:hAnsi="Corbel" w:cs="Times New Roman"/>
        </w:rPr>
        <w:t xml:space="preserve">RH ima Splitsko-dalmatinska županija, koju potom slijedi Primorsko-goranska pa Istarska županija. Po udjelu u ukupnom BDP-u RH, Zadarska županija je četvrta županija od sedam županija. Prve tri županije su gospodarski snažnije županije od Zadarske, prije svega zahvaljujući veličini i snazi svojih urbanih središta. Kako bi Zadar dosegao tu razinu mora u sljedećem </w:t>
      </w:r>
      <w:r w:rsidR="00086AB5" w:rsidRPr="002B107D">
        <w:rPr>
          <w:rFonts w:ascii="Corbel" w:hAnsi="Corbel" w:cs="Times New Roman"/>
        </w:rPr>
        <w:t>desetljeću</w:t>
      </w:r>
      <w:r w:rsidRPr="002B107D">
        <w:rPr>
          <w:rFonts w:ascii="Corbel" w:hAnsi="Corbel" w:cs="Times New Roman"/>
        </w:rPr>
        <w:t xml:space="preserve"> rasti po stopama većim od tri navedene županije, no to nije vjerojatno za očekivati, zbog mnogo drugih faktora koji određuju veličinu nekog gospodarstva (</w:t>
      </w:r>
      <w:r w:rsidR="00086AB5" w:rsidRPr="002B107D">
        <w:rPr>
          <w:rFonts w:ascii="Corbel" w:hAnsi="Corbel" w:cs="Times New Roman"/>
        </w:rPr>
        <w:t>prije svega broj</w:t>
      </w:r>
      <w:r w:rsidRPr="002B107D">
        <w:rPr>
          <w:rFonts w:ascii="Corbel" w:hAnsi="Corbel" w:cs="Times New Roman"/>
        </w:rPr>
        <w:t xml:space="preserve"> stanovnika).</w:t>
      </w:r>
    </w:p>
    <w:p w:rsidR="00BB15E4" w:rsidRPr="002B107D" w:rsidRDefault="00086AB5" w:rsidP="002B107D">
      <w:pPr>
        <w:spacing w:line="240" w:lineRule="auto"/>
        <w:jc w:val="both"/>
        <w:rPr>
          <w:rFonts w:ascii="Corbel" w:hAnsi="Corbel" w:cs="Times New Roman"/>
        </w:rPr>
      </w:pPr>
      <w:r w:rsidRPr="002B107D">
        <w:rPr>
          <w:rFonts w:ascii="Corbel" w:hAnsi="Corbel" w:cs="Times New Roman"/>
        </w:rPr>
        <w:t>Z</w:t>
      </w:r>
      <w:r w:rsidR="00D44E2F" w:rsidRPr="002B107D">
        <w:rPr>
          <w:rFonts w:ascii="Corbel" w:hAnsi="Corbel" w:cs="Times New Roman"/>
        </w:rPr>
        <w:t>a analizu je značajniji  pokazatelj BDP-a po glavi stanovnika</w:t>
      </w:r>
      <w:r w:rsidRPr="002B107D">
        <w:rPr>
          <w:rFonts w:ascii="Corbel" w:hAnsi="Corbel" w:cs="Times New Roman"/>
        </w:rPr>
        <w:t xml:space="preserve"> od ukupnog BDP-a za županiju</w:t>
      </w:r>
      <w:r w:rsidR="00D44E2F" w:rsidRPr="002B107D">
        <w:rPr>
          <w:rFonts w:ascii="Corbel" w:hAnsi="Corbel" w:cs="Times New Roman"/>
        </w:rPr>
        <w:t xml:space="preserve"> </w:t>
      </w:r>
      <w:r w:rsidR="00D10527" w:rsidRPr="002B107D">
        <w:rPr>
          <w:rFonts w:ascii="Corbel" w:hAnsi="Corbel" w:cs="Times New Roman"/>
        </w:rPr>
        <w:t>jer</w:t>
      </w:r>
      <w:r w:rsidR="00D44E2F" w:rsidRPr="002B107D">
        <w:rPr>
          <w:rFonts w:ascii="Corbel" w:hAnsi="Corbel" w:cs="Times New Roman"/>
        </w:rPr>
        <w:t xml:space="preserve"> pokazuje veličinu </w:t>
      </w:r>
      <w:r w:rsidR="00D10527" w:rsidRPr="002B107D">
        <w:rPr>
          <w:rFonts w:ascii="Corbel" w:hAnsi="Corbel" w:cs="Times New Roman"/>
        </w:rPr>
        <w:t>županijskog</w:t>
      </w:r>
      <w:r w:rsidR="00D44E2F" w:rsidRPr="002B107D">
        <w:rPr>
          <w:rFonts w:ascii="Corbel" w:hAnsi="Corbel" w:cs="Times New Roman"/>
        </w:rPr>
        <w:t xml:space="preserve"> </w:t>
      </w:r>
      <w:r w:rsidRPr="002B107D">
        <w:rPr>
          <w:rFonts w:ascii="Corbel" w:hAnsi="Corbel" w:cs="Times New Roman"/>
        </w:rPr>
        <w:t>gospodarstva</w:t>
      </w:r>
      <w:r w:rsidR="00D44E2F" w:rsidRPr="002B107D">
        <w:rPr>
          <w:rFonts w:ascii="Corbel" w:hAnsi="Corbel" w:cs="Times New Roman"/>
        </w:rPr>
        <w:t xml:space="preserve"> bez obzira na broj stanovnika</w:t>
      </w:r>
      <w:r w:rsidR="00E42A27" w:rsidRPr="002B107D">
        <w:rPr>
          <w:rFonts w:ascii="Corbel" w:hAnsi="Corbel" w:cs="Times New Roman"/>
        </w:rPr>
        <w:t xml:space="preserve">. </w:t>
      </w:r>
      <w:r w:rsidRPr="002B107D">
        <w:rPr>
          <w:rFonts w:ascii="Corbel" w:hAnsi="Corbel" w:cs="Times New Roman"/>
        </w:rPr>
        <w:t>Prema tom pokazatelju Zadarska županija je ispod prosjeka RH (na 83 %) te je peta od sedam županija Jadranske RH. Zanimljivo je kako je Ličko-senjska ispred Zadarske prema ovom pokazatelju iako je gospodarski slabija županija. Razlog tome je mali broj stanovnika u odnosu na ukupni BDP županije.</w:t>
      </w:r>
    </w:p>
    <w:p w:rsidR="00C067CC" w:rsidRPr="002B107D" w:rsidRDefault="00C067CC" w:rsidP="00C067CC">
      <w:pPr>
        <w:pStyle w:val="Opisslike"/>
        <w:keepNext/>
        <w:rPr>
          <w:rFonts w:ascii="Corbel" w:hAnsi="Corbel"/>
        </w:rPr>
      </w:pPr>
      <w:bookmarkStart w:id="1" w:name="_Toc351538406"/>
      <w:r w:rsidRPr="002B107D">
        <w:rPr>
          <w:rFonts w:ascii="Corbel" w:hAnsi="Corbel"/>
        </w:rPr>
        <w:t xml:space="preserve">Tablica </w:t>
      </w:r>
      <w:r w:rsidR="00CB65B4" w:rsidRPr="002B107D">
        <w:rPr>
          <w:rFonts w:ascii="Corbel" w:hAnsi="Corbel"/>
        </w:rPr>
        <w:fldChar w:fldCharType="begin"/>
      </w:r>
      <w:r w:rsidR="00CB65B4" w:rsidRPr="002B107D">
        <w:rPr>
          <w:rFonts w:ascii="Corbel" w:hAnsi="Corbel"/>
        </w:rPr>
        <w:instrText xml:space="preserve"> SEQ Tablica \* ARABIC </w:instrText>
      </w:r>
      <w:r w:rsidR="00CB65B4" w:rsidRPr="002B107D">
        <w:rPr>
          <w:rFonts w:ascii="Corbel" w:hAnsi="Corbel"/>
        </w:rPr>
        <w:fldChar w:fldCharType="separate"/>
      </w:r>
      <w:r w:rsidR="00280AAE">
        <w:rPr>
          <w:rFonts w:ascii="Corbel" w:hAnsi="Corbel"/>
          <w:noProof/>
        </w:rPr>
        <w:t>1</w:t>
      </w:r>
      <w:r w:rsidR="00CB65B4" w:rsidRPr="002B107D">
        <w:rPr>
          <w:rFonts w:ascii="Corbel" w:hAnsi="Corbel"/>
          <w:noProof/>
        </w:rPr>
        <w:fldChar w:fldCharType="end"/>
      </w:r>
      <w:r w:rsidRPr="002B107D">
        <w:rPr>
          <w:rFonts w:ascii="Corbel" w:hAnsi="Corbel"/>
        </w:rPr>
        <w:t xml:space="preserve">: BDP i BDP po glavi stanovnika za RH </w:t>
      </w:r>
      <w:r w:rsidR="00F31DDB" w:rsidRPr="002B107D">
        <w:rPr>
          <w:rFonts w:ascii="Corbel" w:hAnsi="Corbel"/>
        </w:rPr>
        <w:t>i županije J</w:t>
      </w:r>
      <w:r w:rsidRPr="002B107D">
        <w:rPr>
          <w:rFonts w:ascii="Corbel" w:hAnsi="Corbel"/>
        </w:rPr>
        <w:t>adranske RH u 2009. godini</w:t>
      </w:r>
      <w:bookmarkEnd w:id="1"/>
    </w:p>
    <w:tbl>
      <w:tblPr>
        <w:tblW w:w="8731" w:type="dxa"/>
        <w:tblInd w:w="93" w:type="dxa"/>
        <w:tblLook w:val="04A0" w:firstRow="1" w:lastRow="0" w:firstColumn="1" w:lastColumn="0" w:noHBand="0" w:noVBand="1"/>
      </w:tblPr>
      <w:tblGrid>
        <w:gridCol w:w="1802"/>
        <w:gridCol w:w="1878"/>
        <w:gridCol w:w="1675"/>
        <w:gridCol w:w="1701"/>
        <w:gridCol w:w="1675"/>
      </w:tblGrid>
      <w:tr w:rsidR="00C067CC" w:rsidRPr="002B107D" w:rsidTr="00C067CC">
        <w:trPr>
          <w:trHeight w:val="601"/>
        </w:trPr>
        <w:tc>
          <w:tcPr>
            <w:tcW w:w="180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 </w:t>
            </w:r>
          </w:p>
        </w:tc>
        <w:tc>
          <w:tcPr>
            <w:tcW w:w="1878" w:type="dxa"/>
            <w:tcBorders>
              <w:top w:val="single" w:sz="4" w:space="0" w:color="auto"/>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Bruto domaći proizvod,</w:t>
            </w:r>
            <w:r w:rsidRPr="002B107D">
              <w:rPr>
                <w:rFonts w:ascii="Corbel" w:eastAsia="Times New Roman" w:hAnsi="Corbel" w:cs="Times New Roman"/>
                <w:sz w:val="20"/>
                <w:szCs w:val="20"/>
                <w:lang w:eastAsia="hr-HR"/>
              </w:rPr>
              <w:br/>
              <w:t>mil. EUR</w:t>
            </w:r>
          </w:p>
        </w:tc>
        <w:tc>
          <w:tcPr>
            <w:tcW w:w="1675" w:type="dxa"/>
            <w:tcBorders>
              <w:top w:val="single" w:sz="4" w:space="0" w:color="auto"/>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center"/>
              <w:rPr>
                <w:rFonts w:ascii="Corbel" w:eastAsia="Times New Roman" w:hAnsi="Corbel" w:cs="Times New Roman"/>
                <w:color w:val="000000"/>
                <w:sz w:val="20"/>
                <w:szCs w:val="20"/>
                <w:lang w:eastAsia="hr-HR"/>
              </w:rPr>
            </w:pPr>
            <w:r w:rsidRPr="002B107D">
              <w:rPr>
                <w:rFonts w:ascii="Corbel" w:eastAsia="Times New Roman" w:hAnsi="Corbel" w:cs="Times New Roman"/>
                <w:color w:val="000000"/>
                <w:sz w:val="20"/>
                <w:szCs w:val="20"/>
                <w:lang w:eastAsia="hr-HR"/>
              </w:rPr>
              <w:t>Struktura po</w:t>
            </w:r>
            <w:r w:rsidRPr="002B107D">
              <w:rPr>
                <w:rFonts w:ascii="Corbel" w:eastAsia="Times New Roman" w:hAnsi="Corbel" w:cs="Times New Roman"/>
                <w:color w:val="000000"/>
                <w:sz w:val="20"/>
                <w:szCs w:val="20"/>
                <w:lang w:eastAsia="hr-HR"/>
              </w:rPr>
              <w:br/>
              <w:t>županijama, % (Hrvatska = 100)</w:t>
            </w:r>
          </w:p>
        </w:tc>
        <w:tc>
          <w:tcPr>
            <w:tcW w:w="1701" w:type="dxa"/>
            <w:tcBorders>
              <w:top w:val="single" w:sz="4" w:space="0" w:color="auto"/>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center"/>
              <w:rPr>
                <w:rFonts w:ascii="Corbel" w:eastAsia="Times New Roman" w:hAnsi="Corbel" w:cs="Times New Roman"/>
                <w:color w:val="000000"/>
                <w:sz w:val="20"/>
                <w:szCs w:val="20"/>
                <w:lang w:eastAsia="hr-HR"/>
              </w:rPr>
            </w:pPr>
            <w:r w:rsidRPr="002B107D">
              <w:rPr>
                <w:rFonts w:ascii="Corbel" w:eastAsia="Times New Roman" w:hAnsi="Corbel" w:cs="Times New Roman"/>
                <w:color w:val="000000"/>
                <w:sz w:val="20"/>
                <w:szCs w:val="20"/>
                <w:lang w:eastAsia="hr-HR"/>
              </w:rPr>
              <w:t>Bruto domaći</w:t>
            </w:r>
            <w:r w:rsidRPr="002B107D">
              <w:rPr>
                <w:rFonts w:ascii="Corbel" w:eastAsia="Times New Roman" w:hAnsi="Corbel" w:cs="Times New Roman"/>
                <w:color w:val="000000"/>
                <w:sz w:val="20"/>
                <w:szCs w:val="20"/>
                <w:lang w:eastAsia="hr-HR"/>
              </w:rPr>
              <w:br/>
              <w:t>proizvod po glavi</w:t>
            </w:r>
            <w:r w:rsidRPr="002B107D">
              <w:rPr>
                <w:rFonts w:ascii="Corbel" w:eastAsia="Times New Roman" w:hAnsi="Corbel" w:cs="Times New Roman"/>
                <w:color w:val="000000"/>
                <w:sz w:val="20"/>
                <w:szCs w:val="20"/>
                <w:lang w:eastAsia="hr-HR"/>
              </w:rPr>
              <w:br/>
              <w:t>stanovnika, EUR</w:t>
            </w:r>
          </w:p>
        </w:tc>
        <w:tc>
          <w:tcPr>
            <w:tcW w:w="1675" w:type="dxa"/>
            <w:tcBorders>
              <w:top w:val="single" w:sz="4" w:space="0" w:color="auto"/>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Indeks</w:t>
            </w:r>
            <w:r w:rsidRPr="002B107D">
              <w:rPr>
                <w:rFonts w:ascii="Corbel" w:eastAsia="Times New Roman" w:hAnsi="Corbel" w:cs="Times New Roman"/>
                <w:sz w:val="20"/>
                <w:szCs w:val="20"/>
                <w:lang w:eastAsia="hr-HR"/>
              </w:rPr>
              <w:br/>
              <w:t>(Hrvatska = 100)</w:t>
            </w:r>
          </w:p>
        </w:tc>
      </w:tr>
      <w:tr w:rsidR="00323046" w:rsidRPr="002B107D" w:rsidTr="00C067CC">
        <w:trPr>
          <w:trHeight w:val="200"/>
        </w:trPr>
        <w:tc>
          <w:tcPr>
            <w:tcW w:w="1802" w:type="dxa"/>
            <w:tcBorders>
              <w:top w:val="nil"/>
              <w:left w:val="single" w:sz="4" w:space="0" w:color="auto"/>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RH</w:t>
            </w:r>
          </w:p>
        </w:tc>
        <w:tc>
          <w:tcPr>
            <w:tcW w:w="1878"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44.781,00</w:t>
            </w:r>
          </w:p>
        </w:tc>
        <w:tc>
          <w:tcPr>
            <w:tcW w:w="1675"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100,00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10.111,00</w:t>
            </w:r>
          </w:p>
        </w:tc>
        <w:tc>
          <w:tcPr>
            <w:tcW w:w="1675"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100,00</w:t>
            </w:r>
          </w:p>
        </w:tc>
      </w:tr>
      <w:tr w:rsidR="00323046" w:rsidRPr="002B107D" w:rsidTr="00C067CC">
        <w:trPr>
          <w:trHeight w:val="365"/>
        </w:trPr>
        <w:tc>
          <w:tcPr>
            <w:tcW w:w="1802" w:type="dxa"/>
            <w:tcBorders>
              <w:top w:val="nil"/>
              <w:left w:val="single" w:sz="4" w:space="0" w:color="auto"/>
              <w:bottom w:val="single" w:sz="4" w:space="0" w:color="auto"/>
              <w:right w:val="single" w:sz="4" w:space="0" w:color="auto"/>
            </w:tcBorders>
            <w:shd w:val="clear" w:color="000000" w:fill="D9D9D9"/>
            <w:vAlign w:val="bottom"/>
            <w:hideMark/>
          </w:tcPr>
          <w:p w:rsidR="00C067CC" w:rsidRPr="002B107D" w:rsidRDefault="00323046"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 xml:space="preserve">Jadranska </w:t>
            </w:r>
            <w:r w:rsidR="00C067CC" w:rsidRPr="002B107D">
              <w:rPr>
                <w:rFonts w:ascii="Corbel" w:eastAsia="Times New Roman" w:hAnsi="Corbel" w:cs="Times New Roman"/>
                <w:sz w:val="20"/>
                <w:szCs w:val="20"/>
                <w:lang w:eastAsia="hr-HR"/>
              </w:rPr>
              <w:t>Hrvatska</w:t>
            </w:r>
          </w:p>
        </w:tc>
        <w:tc>
          <w:tcPr>
            <w:tcW w:w="1878"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14.343,00</w:t>
            </w:r>
          </w:p>
        </w:tc>
        <w:tc>
          <w:tcPr>
            <w:tcW w:w="1675"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32,00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9.764,00</w:t>
            </w:r>
          </w:p>
        </w:tc>
        <w:tc>
          <w:tcPr>
            <w:tcW w:w="1675"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96,60</w:t>
            </w:r>
          </w:p>
        </w:tc>
      </w:tr>
      <w:tr w:rsidR="00C067CC" w:rsidRPr="002B107D" w:rsidTr="00C067CC">
        <w:trPr>
          <w:trHeight w:val="200"/>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Istarska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2.754,00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6,20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12.810,00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126,70</w:t>
            </w:r>
          </w:p>
        </w:tc>
      </w:tr>
      <w:tr w:rsidR="00C067CC" w:rsidRPr="002B107D" w:rsidTr="00C067CC">
        <w:trPr>
          <w:trHeight w:val="365"/>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Pr</w:t>
            </w:r>
            <w:r w:rsidR="00D44E2F" w:rsidRPr="002B107D">
              <w:rPr>
                <w:rFonts w:ascii="Corbel" w:eastAsia="Times New Roman" w:hAnsi="Corbel" w:cs="Times New Roman"/>
                <w:sz w:val="20"/>
                <w:szCs w:val="20"/>
                <w:lang w:eastAsia="hr-HR"/>
              </w:rPr>
              <w:t>i</w:t>
            </w:r>
            <w:r w:rsidRPr="002B107D">
              <w:rPr>
                <w:rFonts w:ascii="Corbel" w:eastAsia="Times New Roman" w:hAnsi="Corbel" w:cs="Times New Roman"/>
                <w:sz w:val="20"/>
                <w:szCs w:val="20"/>
                <w:lang w:eastAsia="hr-HR"/>
              </w:rPr>
              <w:t>morsko-goranska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3.744,00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8,40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12.305,00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121,70</w:t>
            </w:r>
          </w:p>
        </w:tc>
      </w:tr>
      <w:tr w:rsidR="00C067CC" w:rsidRPr="002B107D" w:rsidTr="00F23354">
        <w:trPr>
          <w:trHeight w:val="319"/>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Ličko-senjska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435,00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1,00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8.707,00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86,10</w:t>
            </w:r>
          </w:p>
        </w:tc>
      </w:tr>
      <w:tr w:rsidR="00C067CC" w:rsidRPr="002B107D" w:rsidTr="00C067CC">
        <w:trPr>
          <w:trHeight w:val="200"/>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Zadarska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color w:val="FF0000"/>
                <w:sz w:val="20"/>
                <w:szCs w:val="20"/>
                <w:lang w:eastAsia="hr-HR"/>
              </w:rPr>
            </w:pPr>
            <w:r w:rsidRPr="002B107D">
              <w:rPr>
                <w:rFonts w:ascii="Corbel" w:eastAsia="Times New Roman" w:hAnsi="Corbel" w:cs="Times New Roman"/>
                <w:color w:val="FF0000"/>
                <w:sz w:val="20"/>
                <w:szCs w:val="20"/>
                <w:lang w:eastAsia="hr-HR"/>
              </w:rPr>
              <w:t>1.474,00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color w:val="FF0000"/>
                <w:sz w:val="20"/>
                <w:szCs w:val="20"/>
                <w:lang w:eastAsia="hr-HR"/>
              </w:rPr>
            </w:pPr>
            <w:r w:rsidRPr="002B107D">
              <w:rPr>
                <w:rFonts w:ascii="Corbel" w:eastAsia="Times New Roman" w:hAnsi="Corbel" w:cs="Times New Roman"/>
                <w:color w:val="FF0000"/>
                <w:sz w:val="20"/>
                <w:szCs w:val="20"/>
                <w:lang w:eastAsia="hr-HR"/>
              </w:rPr>
              <w:t>3,30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color w:val="FF0000"/>
                <w:sz w:val="20"/>
                <w:szCs w:val="20"/>
                <w:lang w:eastAsia="hr-HR"/>
              </w:rPr>
            </w:pPr>
            <w:r w:rsidRPr="002B107D">
              <w:rPr>
                <w:rFonts w:ascii="Corbel" w:eastAsia="Times New Roman" w:hAnsi="Corbel" w:cs="Times New Roman"/>
                <w:color w:val="FF0000"/>
                <w:sz w:val="20"/>
                <w:szCs w:val="20"/>
                <w:lang w:eastAsia="hr-HR"/>
              </w:rPr>
              <w:t>8.388,00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color w:val="FF0000"/>
                <w:sz w:val="20"/>
                <w:szCs w:val="20"/>
                <w:lang w:eastAsia="hr-HR"/>
              </w:rPr>
            </w:pPr>
            <w:r w:rsidRPr="002B107D">
              <w:rPr>
                <w:rFonts w:ascii="Corbel" w:eastAsia="Times New Roman" w:hAnsi="Corbel" w:cs="Times New Roman"/>
                <w:color w:val="FF0000"/>
                <w:sz w:val="20"/>
                <w:szCs w:val="20"/>
                <w:lang w:eastAsia="hr-HR"/>
              </w:rPr>
              <w:t>83,00</w:t>
            </w:r>
          </w:p>
        </w:tc>
      </w:tr>
      <w:tr w:rsidR="00C067CC" w:rsidRPr="002B107D" w:rsidTr="00F23354">
        <w:trPr>
          <w:trHeight w:val="200"/>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Šibensko-kninska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826,00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1,80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7.239,00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71,60</w:t>
            </w:r>
          </w:p>
        </w:tc>
      </w:tr>
      <w:tr w:rsidR="00C067CC" w:rsidRPr="002B107D" w:rsidTr="00C067CC">
        <w:trPr>
          <w:trHeight w:val="365"/>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Splitsko-dalmatinska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3.837,00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8,60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7.952,00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78,70</w:t>
            </w:r>
          </w:p>
        </w:tc>
      </w:tr>
      <w:tr w:rsidR="00C067CC" w:rsidRPr="002B107D" w:rsidTr="00C067CC">
        <w:trPr>
          <w:trHeight w:val="365"/>
        </w:trPr>
        <w:tc>
          <w:tcPr>
            <w:tcW w:w="1802" w:type="dxa"/>
            <w:tcBorders>
              <w:top w:val="nil"/>
              <w:left w:val="single" w:sz="4" w:space="0" w:color="auto"/>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Dubrovačko-neretvanska</w:t>
            </w:r>
          </w:p>
        </w:tc>
        <w:tc>
          <w:tcPr>
            <w:tcW w:w="1878"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1.273,00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2,80</w:t>
            </w:r>
          </w:p>
        </w:tc>
        <w:tc>
          <w:tcPr>
            <w:tcW w:w="1701" w:type="dxa"/>
            <w:tcBorders>
              <w:top w:val="nil"/>
              <w:left w:val="nil"/>
              <w:bottom w:val="single" w:sz="4" w:space="0" w:color="auto"/>
              <w:right w:val="single" w:sz="4" w:space="0" w:color="auto"/>
            </w:tcBorders>
            <w:shd w:val="clear" w:color="000000" w:fill="D9D9D9"/>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9.990,00</w:t>
            </w:r>
          </w:p>
        </w:tc>
        <w:tc>
          <w:tcPr>
            <w:tcW w:w="1675" w:type="dxa"/>
            <w:tcBorders>
              <w:top w:val="nil"/>
              <w:left w:val="nil"/>
              <w:bottom w:val="single" w:sz="4"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98,80</w:t>
            </w:r>
          </w:p>
        </w:tc>
      </w:tr>
    </w:tbl>
    <w:p w:rsidR="00C067CC" w:rsidRPr="002B107D" w:rsidRDefault="00C067CC">
      <w:pPr>
        <w:rPr>
          <w:rFonts w:ascii="Corbel" w:hAnsi="Corbel"/>
        </w:rPr>
      </w:pPr>
      <w:r w:rsidRPr="002B107D">
        <w:rPr>
          <w:rFonts w:ascii="Corbel" w:hAnsi="Corbel"/>
        </w:rPr>
        <w:t>Izvor:  DZS, Priopćenja i statistička izvješća, 2012.</w:t>
      </w:r>
    </w:p>
    <w:p w:rsidR="00C067CC" w:rsidRPr="002B107D" w:rsidRDefault="00086AB5" w:rsidP="002B107D">
      <w:pPr>
        <w:spacing w:line="240" w:lineRule="auto"/>
        <w:jc w:val="both"/>
        <w:rPr>
          <w:rFonts w:ascii="Corbel" w:hAnsi="Corbel" w:cs="Times New Roman"/>
        </w:rPr>
      </w:pPr>
      <w:r w:rsidRPr="002B107D">
        <w:rPr>
          <w:rFonts w:ascii="Corbel" w:hAnsi="Corbel" w:cs="Times New Roman"/>
        </w:rPr>
        <w:t xml:space="preserve">Podaci o BDP-u </w:t>
      </w:r>
      <w:proofErr w:type="spellStart"/>
      <w:r w:rsidRPr="002B107D">
        <w:rPr>
          <w:rFonts w:ascii="Corbel" w:hAnsi="Corbel" w:cs="Times New Roman"/>
        </w:rPr>
        <w:t>u</w:t>
      </w:r>
      <w:proofErr w:type="spellEnd"/>
      <w:r w:rsidRPr="002B107D">
        <w:rPr>
          <w:rFonts w:ascii="Corbel" w:hAnsi="Corbel" w:cs="Times New Roman"/>
        </w:rPr>
        <w:t xml:space="preserve"> danoj jedinici vremena ne otkrivaju nam dovoljno o performansama pojed</w:t>
      </w:r>
      <w:r w:rsidR="00D10527" w:rsidRPr="002B107D">
        <w:rPr>
          <w:rFonts w:ascii="Corbel" w:hAnsi="Corbel" w:cs="Times New Roman"/>
        </w:rPr>
        <w:t>inih gospodarstva, tj. ne kazuju</w:t>
      </w:r>
      <w:r w:rsidRPr="002B107D">
        <w:rPr>
          <w:rFonts w:ascii="Corbel" w:hAnsi="Corbel" w:cs="Times New Roman"/>
        </w:rPr>
        <w:t xml:space="preserve"> nam koliko je dobro ekonomija radila u proteklom razdoblju</w:t>
      </w:r>
      <w:r w:rsidR="00D10527" w:rsidRPr="002B107D">
        <w:rPr>
          <w:rFonts w:ascii="Corbel" w:hAnsi="Corbel" w:cs="Times New Roman"/>
        </w:rPr>
        <w:t xml:space="preserve">. </w:t>
      </w:r>
      <w:r w:rsidR="00323046" w:rsidRPr="002B107D">
        <w:rPr>
          <w:rFonts w:ascii="Corbel" w:hAnsi="Corbel" w:cs="Times New Roman"/>
        </w:rPr>
        <w:t>RH je prošla turbulentno razdoblje od osamostaljenja do danas pri čemu</w:t>
      </w:r>
      <w:r w:rsidR="00D10527" w:rsidRPr="002B107D">
        <w:rPr>
          <w:rFonts w:ascii="Corbel" w:hAnsi="Corbel" w:cs="Times New Roman"/>
        </w:rPr>
        <w:t xml:space="preserve"> su neke županije </w:t>
      </w:r>
      <w:r w:rsidR="00323046" w:rsidRPr="002B107D">
        <w:rPr>
          <w:rFonts w:ascii="Corbel" w:hAnsi="Corbel" w:cs="Times New Roman"/>
        </w:rPr>
        <w:t>morale uložiti</w:t>
      </w:r>
      <w:r w:rsidR="00B10DBB" w:rsidRPr="002B107D">
        <w:rPr>
          <w:rFonts w:ascii="Corbel" w:hAnsi="Corbel" w:cs="Times New Roman"/>
        </w:rPr>
        <w:t xml:space="preserve"> </w:t>
      </w:r>
      <w:r w:rsidR="005F34E4" w:rsidRPr="002B107D">
        <w:rPr>
          <w:rFonts w:ascii="Corbel" w:hAnsi="Corbel" w:cs="Times New Roman"/>
        </w:rPr>
        <w:t>značajne</w:t>
      </w:r>
      <w:r w:rsidR="003C0835" w:rsidRPr="002B107D">
        <w:rPr>
          <w:rFonts w:ascii="Corbel" w:hAnsi="Corbel" w:cs="Times New Roman"/>
        </w:rPr>
        <w:t xml:space="preserve"> napore</w:t>
      </w:r>
      <w:r w:rsidR="00B10DBB" w:rsidRPr="002B107D">
        <w:rPr>
          <w:rFonts w:ascii="Corbel" w:hAnsi="Corbel" w:cs="Times New Roman"/>
        </w:rPr>
        <w:t xml:space="preserve"> </w:t>
      </w:r>
      <w:r w:rsidR="00323046" w:rsidRPr="002B107D">
        <w:rPr>
          <w:rFonts w:ascii="Corbel" w:hAnsi="Corbel" w:cs="Times New Roman"/>
        </w:rPr>
        <w:t>kako bi</w:t>
      </w:r>
      <w:r w:rsidR="00B10DBB" w:rsidRPr="002B107D">
        <w:rPr>
          <w:rFonts w:ascii="Corbel" w:hAnsi="Corbel" w:cs="Times New Roman"/>
        </w:rPr>
        <w:t xml:space="preserve"> </w:t>
      </w:r>
      <w:r w:rsidR="003C0835" w:rsidRPr="002B107D">
        <w:rPr>
          <w:rFonts w:ascii="Corbel" w:hAnsi="Corbel" w:cs="Times New Roman"/>
        </w:rPr>
        <w:t>revitalizirale</w:t>
      </w:r>
      <w:r w:rsidR="00B10DBB" w:rsidRPr="002B107D">
        <w:rPr>
          <w:rFonts w:ascii="Corbel" w:hAnsi="Corbel" w:cs="Times New Roman"/>
        </w:rPr>
        <w:t xml:space="preserve"> svoja gospodarstva </w:t>
      </w:r>
      <w:r w:rsidR="00323046" w:rsidRPr="002B107D">
        <w:rPr>
          <w:rFonts w:ascii="Corbel" w:hAnsi="Corbel" w:cs="Times New Roman"/>
        </w:rPr>
        <w:t>nakon ratnih razaranja</w:t>
      </w:r>
      <w:r w:rsidR="00B10DBB" w:rsidRPr="002B107D">
        <w:rPr>
          <w:rFonts w:ascii="Corbel" w:hAnsi="Corbel" w:cs="Times New Roman"/>
        </w:rPr>
        <w:t>. Kako bi vidjeli koliko je koja županija bila uspješna</w:t>
      </w:r>
      <w:r w:rsidR="003C0835" w:rsidRPr="002B107D">
        <w:rPr>
          <w:rFonts w:ascii="Corbel" w:hAnsi="Corbel" w:cs="Times New Roman"/>
        </w:rPr>
        <w:t xml:space="preserve"> u prethodnom razdoblju</w:t>
      </w:r>
      <w:r w:rsidR="00B10DBB" w:rsidRPr="002B107D">
        <w:rPr>
          <w:rFonts w:ascii="Corbel" w:hAnsi="Corbel" w:cs="Times New Roman"/>
        </w:rPr>
        <w:t xml:space="preserve"> </w:t>
      </w:r>
      <w:r w:rsidR="00D10527" w:rsidRPr="002B107D">
        <w:rPr>
          <w:rFonts w:ascii="Corbel" w:hAnsi="Corbel" w:cs="Times New Roman"/>
        </w:rPr>
        <w:t>potrebno</w:t>
      </w:r>
      <w:r w:rsidR="00B10DBB" w:rsidRPr="002B107D">
        <w:rPr>
          <w:rFonts w:ascii="Corbel" w:hAnsi="Corbel" w:cs="Times New Roman"/>
        </w:rPr>
        <w:t xml:space="preserve"> je</w:t>
      </w:r>
      <w:r w:rsidR="00D10527" w:rsidRPr="002B107D">
        <w:rPr>
          <w:rFonts w:ascii="Corbel" w:hAnsi="Corbel" w:cs="Times New Roman"/>
        </w:rPr>
        <w:t xml:space="preserve"> razmotriti kako se BDP županija kretao u posljednjih 10 godina.</w:t>
      </w:r>
    </w:p>
    <w:p w:rsidR="003C0835" w:rsidRPr="002B107D" w:rsidRDefault="003C0835" w:rsidP="002B107D">
      <w:pPr>
        <w:spacing w:line="240" w:lineRule="auto"/>
        <w:jc w:val="both"/>
        <w:rPr>
          <w:rFonts w:ascii="Corbel" w:hAnsi="Corbel" w:cs="Times New Roman"/>
        </w:rPr>
      </w:pPr>
      <w:r w:rsidRPr="002B107D">
        <w:rPr>
          <w:rFonts w:ascii="Corbel" w:hAnsi="Corbel" w:cs="Times New Roman"/>
        </w:rPr>
        <w:lastRenderedPageBreak/>
        <w:t>Pri tome u analizi BDP-a (a i svih ostalih gospodarskih pokazatelja) vremenski period dinamike kretanja BDP-a logično je podijeliti u dva razdoblja - razdoblje rasta do 2008. i razdoblje stagnacije nakon 2008. godine, kada nastupa ekonomska kriza.</w:t>
      </w:r>
    </w:p>
    <w:p w:rsidR="003C0835" w:rsidRPr="002B107D" w:rsidRDefault="003C0835" w:rsidP="002B107D">
      <w:pPr>
        <w:spacing w:line="240" w:lineRule="auto"/>
        <w:jc w:val="both"/>
        <w:rPr>
          <w:rFonts w:ascii="Corbel" w:hAnsi="Corbel" w:cs="Times New Roman"/>
        </w:rPr>
      </w:pPr>
      <w:r w:rsidRPr="002B107D">
        <w:rPr>
          <w:rFonts w:ascii="Corbel" w:hAnsi="Corbel" w:cs="Times New Roman"/>
        </w:rPr>
        <w:t xml:space="preserve">Gospodarstvo Zadarske županije je u prethodnom desetljeću </w:t>
      </w:r>
      <w:r w:rsidRPr="002B107D">
        <w:rPr>
          <w:rFonts w:ascii="Corbel" w:hAnsi="Corbel" w:cs="Times New Roman"/>
          <w:b/>
        </w:rPr>
        <w:t>raslo prema prosječnoj godišnjoj stopi rasta od 10,3%</w:t>
      </w:r>
      <w:r w:rsidRPr="002B107D">
        <w:rPr>
          <w:rFonts w:ascii="Corbel" w:hAnsi="Corbel" w:cs="Times New Roman"/>
        </w:rPr>
        <w:t xml:space="preserve">.  U tom razdoblju gospodarstvo je </w:t>
      </w:r>
      <w:r w:rsidRPr="002B107D">
        <w:rPr>
          <w:rFonts w:ascii="Corbel" w:hAnsi="Corbel" w:cs="Times New Roman"/>
          <w:b/>
        </w:rPr>
        <w:t>poraslo za 137 % u odnosu na 2000. godinu</w:t>
      </w:r>
      <w:r w:rsidRPr="002B107D">
        <w:rPr>
          <w:rFonts w:ascii="Corbel" w:hAnsi="Corbel" w:cs="Times New Roman"/>
        </w:rPr>
        <w:t xml:space="preserve">. To je ujedno i </w:t>
      </w:r>
      <w:r w:rsidRPr="002B107D">
        <w:rPr>
          <w:rFonts w:ascii="Corbel" w:hAnsi="Corbel" w:cs="Times New Roman"/>
          <w:b/>
        </w:rPr>
        <w:t>najveći porast od svih Jadranskih županija</w:t>
      </w:r>
      <w:r w:rsidRPr="002B107D">
        <w:rPr>
          <w:rFonts w:ascii="Corbel" w:hAnsi="Corbel" w:cs="Times New Roman"/>
        </w:rPr>
        <w:t xml:space="preserve">. Nakon 2008. godine koja se službeno uzima kao godina početka globalne ekonomske krize slijedi pad BDP-a u svim Jadranskim županijama. Premda ne raspolažemo podacima nakon 2009., na osnovu drugih dostupnih podataka (zaposlenost, nezaposlenost) možemo zaključiti kako se negativni trend nastavio sve do danas. </w:t>
      </w:r>
    </w:p>
    <w:p w:rsidR="00C067CC" w:rsidRPr="002B107D" w:rsidRDefault="00C067CC" w:rsidP="002B107D">
      <w:pPr>
        <w:pStyle w:val="Opisslike"/>
        <w:keepNext/>
        <w:rPr>
          <w:rFonts w:ascii="Corbel" w:hAnsi="Corbel"/>
        </w:rPr>
      </w:pPr>
      <w:bookmarkStart w:id="2" w:name="_Toc351538407"/>
      <w:r w:rsidRPr="002B107D">
        <w:rPr>
          <w:rFonts w:ascii="Corbel" w:hAnsi="Corbel"/>
        </w:rPr>
        <w:t xml:space="preserve">Tablica </w:t>
      </w:r>
      <w:r w:rsidR="00CB65B4" w:rsidRPr="002B107D">
        <w:rPr>
          <w:rFonts w:ascii="Corbel" w:hAnsi="Corbel"/>
        </w:rPr>
        <w:fldChar w:fldCharType="begin"/>
      </w:r>
      <w:r w:rsidR="00CB65B4" w:rsidRPr="002B107D">
        <w:rPr>
          <w:rFonts w:ascii="Corbel" w:hAnsi="Corbel"/>
        </w:rPr>
        <w:instrText xml:space="preserve"> SEQ Tablica \* ARABIC </w:instrText>
      </w:r>
      <w:r w:rsidR="00CB65B4" w:rsidRPr="002B107D">
        <w:rPr>
          <w:rFonts w:ascii="Corbel" w:hAnsi="Corbel"/>
        </w:rPr>
        <w:fldChar w:fldCharType="separate"/>
      </w:r>
      <w:r w:rsidR="00280AAE">
        <w:rPr>
          <w:rFonts w:ascii="Corbel" w:hAnsi="Corbel"/>
          <w:noProof/>
        </w:rPr>
        <w:t>2</w:t>
      </w:r>
      <w:r w:rsidR="00CB65B4" w:rsidRPr="002B107D">
        <w:rPr>
          <w:rFonts w:ascii="Corbel" w:hAnsi="Corbel"/>
          <w:noProof/>
        </w:rPr>
        <w:fldChar w:fldCharType="end"/>
      </w:r>
      <w:r w:rsidRPr="002B107D">
        <w:rPr>
          <w:rFonts w:ascii="Corbel" w:hAnsi="Corbel"/>
        </w:rPr>
        <w:t>: BDP  u tekućim cijenama (u mil. EUR)  od 2000.-2009.  za županije Jadranske RH</w:t>
      </w:r>
      <w:bookmarkEnd w:id="2"/>
    </w:p>
    <w:tbl>
      <w:tblPr>
        <w:tblW w:w="9195" w:type="dxa"/>
        <w:tblInd w:w="93" w:type="dxa"/>
        <w:tblLook w:val="04A0" w:firstRow="1" w:lastRow="0" w:firstColumn="1" w:lastColumn="0" w:noHBand="0" w:noVBand="1"/>
      </w:tblPr>
      <w:tblGrid>
        <w:gridCol w:w="1114"/>
        <w:gridCol w:w="1112"/>
        <w:gridCol w:w="1112"/>
        <w:gridCol w:w="1133"/>
        <w:gridCol w:w="1112"/>
        <w:gridCol w:w="1112"/>
        <w:gridCol w:w="1219"/>
        <w:gridCol w:w="1281"/>
      </w:tblGrid>
      <w:tr w:rsidR="00C067CC" w:rsidRPr="002B107D" w:rsidTr="002B107D">
        <w:trPr>
          <w:trHeight w:val="541"/>
        </w:trPr>
        <w:tc>
          <w:tcPr>
            <w:tcW w:w="11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Godina</w:t>
            </w:r>
          </w:p>
        </w:tc>
        <w:tc>
          <w:tcPr>
            <w:tcW w:w="1114" w:type="dxa"/>
            <w:tcBorders>
              <w:top w:val="single" w:sz="4" w:space="0" w:color="auto"/>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Zadarska županija</w:t>
            </w:r>
          </w:p>
        </w:tc>
        <w:tc>
          <w:tcPr>
            <w:tcW w:w="1114" w:type="dxa"/>
            <w:tcBorders>
              <w:top w:val="single" w:sz="4" w:space="0" w:color="auto"/>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Istarska</w:t>
            </w:r>
          </w:p>
        </w:tc>
        <w:tc>
          <w:tcPr>
            <w:tcW w:w="1128" w:type="dxa"/>
            <w:tcBorders>
              <w:top w:val="single" w:sz="4" w:space="0" w:color="auto"/>
              <w:left w:val="nil"/>
              <w:bottom w:val="single" w:sz="4" w:space="0" w:color="auto"/>
              <w:right w:val="single" w:sz="4" w:space="0" w:color="auto"/>
            </w:tcBorders>
            <w:shd w:val="clear" w:color="auto" w:fill="auto"/>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Primorsko-goranska</w:t>
            </w:r>
          </w:p>
        </w:tc>
        <w:tc>
          <w:tcPr>
            <w:tcW w:w="1114" w:type="dxa"/>
            <w:tcBorders>
              <w:top w:val="single" w:sz="4" w:space="0" w:color="auto"/>
              <w:left w:val="nil"/>
              <w:bottom w:val="single" w:sz="4" w:space="0" w:color="auto"/>
              <w:right w:val="single" w:sz="4" w:space="0" w:color="auto"/>
            </w:tcBorders>
            <w:shd w:val="clear" w:color="auto" w:fill="auto"/>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Ličko-senjska</w:t>
            </w:r>
          </w:p>
        </w:tc>
        <w:tc>
          <w:tcPr>
            <w:tcW w:w="1114" w:type="dxa"/>
            <w:tcBorders>
              <w:top w:val="single" w:sz="4" w:space="0" w:color="auto"/>
              <w:left w:val="nil"/>
              <w:bottom w:val="single" w:sz="4" w:space="0" w:color="auto"/>
              <w:right w:val="single" w:sz="4" w:space="0" w:color="auto"/>
            </w:tcBorders>
            <w:shd w:val="clear" w:color="auto" w:fill="auto"/>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Šibensko-kninska</w:t>
            </w:r>
          </w:p>
        </w:tc>
        <w:tc>
          <w:tcPr>
            <w:tcW w:w="1221" w:type="dxa"/>
            <w:tcBorders>
              <w:top w:val="single" w:sz="4" w:space="0" w:color="auto"/>
              <w:left w:val="nil"/>
              <w:bottom w:val="single" w:sz="4" w:space="0" w:color="auto"/>
              <w:right w:val="single" w:sz="4" w:space="0" w:color="auto"/>
            </w:tcBorders>
            <w:shd w:val="clear" w:color="auto" w:fill="auto"/>
            <w:hideMark/>
          </w:tcPr>
          <w:p w:rsidR="00C067CC" w:rsidRPr="002B107D" w:rsidRDefault="00C067CC" w:rsidP="002B107D">
            <w:pPr>
              <w:spacing w:after="0" w:line="240" w:lineRule="auto"/>
              <w:rPr>
                <w:rFonts w:ascii="Corbel" w:eastAsia="Times New Roman" w:hAnsi="Corbel" w:cs="Times New Roman"/>
                <w:sz w:val="20"/>
                <w:szCs w:val="20"/>
                <w:lang w:eastAsia="hr-HR"/>
              </w:rPr>
            </w:pPr>
            <w:r w:rsidRPr="002B107D">
              <w:rPr>
                <w:rFonts w:ascii="Corbel" w:eastAsia="Times New Roman" w:hAnsi="Corbel" w:cs="Times New Roman"/>
                <w:sz w:val="18"/>
                <w:szCs w:val="20"/>
                <w:lang w:eastAsia="hr-HR"/>
              </w:rPr>
              <w:t>Splitsko-dalmatinska</w:t>
            </w:r>
          </w:p>
        </w:tc>
        <w:tc>
          <w:tcPr>
            <w:tcW w:w="1275" w:type="dxa"/>
            <w:tcBorders>
              <w:top w:val="single" w:sz="4" w:space="0" w:color="auto"/>
              <w:left w:val="nil"/>
              <w:bottom w:val="single" w:sz="4" w:space="0" w:color="auto"/>
              <w:right w:val="single" w:sz="4" w:space="0" w:color="auto"/>
            </w:tcBorders>
            <w:shd w:val="clear" w:color="auto" w:fill="auto"/>
            <w:hideMark/>
          </w:tcPr>
          <w:p w:rsidR="00C067CC" w:rsidRPr="002B107D" w:rsidRDefault="002B107D" w:rsidP="002B107D">
            <w:pPr>
              <w:spacing w:after="0" w:line="240" w:lineRule="auto"/>
              <w:rPr>
                <w:rFonts w:ascii="Corbel" w:eastAsia="Times New Roman" w:hAnsi="Corbel" w:cs="Times New Roman"/>
                <w:sz w:val="20"/>
                <w:szCs w:val="20"/>
                <w:lang w:eastAsia="hr-HR"/>
              </w:rPr>
            </w:pPr>
            <w:r>
              <w:rPr>
                <w:rFonts w:ascii="Corbel" w:eastAsia="Times New Roman" w:hAnsi="Corbel" w:cs="Times New Roman"/>
                <w:sz w:val="20"/>
                <w:szCs w:val="20"/>
                <w:lang w:eastAsia="hr-HR"/>
              </w:rPr>
              <w:t>Dubrovačko-</w:t>
            </w:r>
            <w:proofErr w:type="spellStart"/>
            <w:r>
              <w:rPr>
                <w:rFonts w:ascii="Corbel" w:eastAsia="Times New Roman" w:hAnsi="Corbel" w:cs="Times New Roman"/>
                <w:sz w:val="20"/>
                <w:szCs w:val="20"/>
                <w:lang w:eastAsia="hr-HR"/>
              </w:rPr>
              <w:t>neretv</w:t>
            </w:r>
            <w:proofErr w:type="spellEnd"/>
            <w:r>
              <w:rPr>
                <w:rFonts w:ascii="Corbel" w:eastAsia="Times New Roman" w:hAnsi="Corbel" w:cs="Times New Roman"/>
                <w:sz w:val="20"/>
                <w:szCs w:val="20"/>
                <w:lang w:eastAsia="hr-HR"/>
              </w:rPr>
              <w:t>.</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623</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1.401,00</w:t>
            </w:r>
          </w:p>
        </w:tc>
        <w:tc>
          <w:tcPr>
            <w:tcW w:w="1128" w:type="dxa"/>
            <w:tcBorders>
              <w:top w:val="nil"/>
              <w:left w:val="nil"/>
              <w:bottom w:val="nil"/>
              <w:right w:val="nil"/>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val="en-GB" w:eastAsia="hr-HR"/>
              </w:rPr>
              <w:t>2.040,00</w:t>
            </w:r>
          </w:p>
        </w:tc>
        <w:tc>
          <w:tcPr>
            <w:tcW w:w="1114"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242,00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416,00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1.883,00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572,00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2001</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731</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1.597,00</w:t>
            </w:r>
          </w:p>
        </w:tc>
        <w:tc>
          <w:tcPr>
            <w:tcW w:w="1128" w:type="dxa"/>
            <w:tcBorders>
              <w:top w:val="single" w:sz="4" w:space="0" w:color="auto"/>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2.067,00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259,00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447,00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2.077,00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634,00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2002</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825</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1.783,00</w:t>
            </w:r>
          </w:p>
        </w:tc>
        <w:tc>
          <w:tcPr>
            <w:tcW w:w="1128"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2.185,00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316,00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506,00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2.267,00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674,00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2003</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962</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1.935,00</w:t>
            </w:r>
          </w:p>
        </w:tc>
        <w:tc>
          <w:tcPr>
            <w:tcW w:w="1128"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2.440,00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384,00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570,00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2.446,00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742,00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2004</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1035</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2.137,00</w:t>
            </w:r>
          </w:p>
        </w:tc>
        <w:tc>
          <w:tcPr>
            <w:tcW w:w="1128"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2.586,00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521,00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647,00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2.813,00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876,00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2005</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1139</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2.240,00</w:t>
            </w:r>
          </w:p>
        </w:tc>
        <w:tc>
          <w:tcPr>
            <w:tcW w:w="1128"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2.952,00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398,00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742,00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3.006,00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963,00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2006</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1184</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2.410,00</w:t>
            </w:r>
          </w:p>
        </w:tc>
        <w:tc>
          <w:tcPr>
            <w:tcW w:w="1128" w:type="dxa"/>
            <w:tcBorders>
              <w:top w:val="nil"/>
              <w:left w:val="nil"/>
              <w:bottom w:val="single" w:sz="4" w:space="0" w:color="auto"/>
              <w:right w:val="single" w:sz="4" w:space="0" w:color="auto"/>
            </w:tcBorders>
            <w:shd w:val="clear" w:color="000000" w:fill="FFFFFF"/>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3.222,00</w:t>
            </w:r>
          </w:p>
        </w:tc>
        <w:tc>
          <w:tcPr>
            <w:tcW w:w="1114" w:type="dxa"/>
            <w:tcBorders>
              <w:top w:val="nil"/>
              <w:left w:val="nil"/>
              <w:bottom w:val="single" w:sz="4" w:space="0" w:color="auto"/>
              <w:right w:val="single" w:sz="4" w:space="0" w:color="auto"/>
            </w:tcBorders>
            <w:shd w:val="clear" w:color="000000" w:fill="FFFFFF"/>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418,00</w:t>
            </w:r>
          </w:p>
        </w:tc>
        <w:tc>
          <w:tcPr>
            <w:tcW w:w="1114" w:type="dxa"/>
            <w:tcBorders>
              <w:top w:val="nil"/>
              <w:left w:val="nil"/>
              <w:bottom w:val="single" w:sz="4" w:space="0" w:color="auto"/>
              <w:right w:val="single" w:sz="4" w:space="0" w:color="auto"/>
            </w:tcBorders>
            <w:shd w:val="clear" w:color="000000" w:fill="FFFFFF"/>
            <w:noWrap/>
            <w:vAlign w:val="bottom"/>
            <w:hideMark/>
          </w:tcPr>
          <w:p w:rsidR="00C067CC" w:rsidRPr="002B107D" w:rsidRDefault="00C067CC" w:rsidP="002B107D">
            <w:pPr>
              <w:spacing w:after="0" w:line="240" w:lineRule="auto"/>
              <w:jc w:val="right"/>
              <w:rPr>
                <w:rFonts w:ascii="Corbel" w:eastAsia="Times New Roman" w:hAnsi="Corbel" w:cs="Times New Roman"/>
                <w:color w:val="000000"/>
                <w:sz w:val="20"/>
                <w:szCs w:val="20"/>
                <w:lang w:eastAsia="hr-HR"/>
              </w:rPr>
            </w:pPr>
            <w:r w:rsidRPr="002B107D">
              <w:rPr>
                <w:rFonts w:ascii="Corbel" w:eastAsia="Times New Roman" w:hAnsi="Corbel" w:cs="Times New Roman"/>
                <w:color w:val="000000"/>
                <w:sz w:val="20"/>
                <w:szCs w:val="20"/>
                <w:lang w:val="en-GB" w:eastAsia="hr-HR"/>
              </w:rPr>
              <w:t>751,00</w:t>
            </w:r>
          </w:p>
        </w:tc>
        <w:tc>
          <w:tcPr>
            <w:tcW w:w="1221" w:type="dxa"/>
            <w:tcBorders>
              <w:top w:val="nil"/>
              <w:left w:val="nil"/>
              <w:bottom w:val="single" w:sz="4" w:space="0" w:color="auto"/>
              <w:right w:val="single" w:sz="4" w:space="0" w:color="auto"/>
            </w:tcBorders>
            <w:shd w:val="clear" w:color="000000" w:fill="FFFFFF"/>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3.324,00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1.063,00</w:t>
            </w:r>
          </w:p>
        </w:tc>
      </w:tr>
      <w:tr w:rsidR="00C067CC" w:rsidRPr="002B107D" w:rsidTr="002B107D">
        <w:trPr>
          <w:trHeight w:val="271"/>
        </w:trPr>
        <w:tc>
          <w:tcPr>
            <w:tcW w:w="1115" w:type="dxa"/>
            <w:tcBorders>
              <w:top w:val="nil"/>
              <w:left w:val="single" w:sz="4" w:space="0" w:color="auto"/>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2007</w:t>
            </w:r>
          </w:p>
        </w:tc>
        <w:tc>
          <w:tcPr>
            <w:tcW w:w="1114" w:type="dxa"/>
            <w:tcBorders>
              <w:top w:val="nil"/>
              <w:left w:val="nil"/>
              <w:bottom w:val="single" w:sz="4" w:space="0" w:color="auto"/>
              <w:right w:val="single" w:sz="4" w:space="0" w:color="auto"/>
            </w:tcBorders>
            <w:shd w:val="clear" w:color="auto" w:fill="auto"/>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1380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2.654,00</w:t>
            </w:r>
          </w:p>
        </w:tc>
        <w:tc>
          <w:tcPr>
            <w:tcW w:w="1128"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3.406,00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411,00</w:t>
            </w:r>
          </w:p>
        </w:tc>
        <w:tc>
          <w:tcPr>
            <w:tcW w:w="1114"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color w:val="000000"/>
                <w:sz w:val="20"/>
                <w:szCs w:val="20"/>
                <w:lang w:eastAsia="hr-HR"/>
              </w:rPr>
            </w:pPr>
            <w:r w:rsidRPr="002B107D">
              <w:rPr>
                <w:rFonts w:ascii="Corbel" w:eastAsia="Times New Roman" w:hAnsi="Corbel" w:cs="Times New Roman"/>
                <w:color w:val="000000"/>
                <w:sz w:val="20"/>
                <w:szCs w:val="20"/>
                <w:lang w:val="en-GB" w:eastAsia="hr-HR"/>
              </w:rPr>
              <w:t>892,00</w:t>
            </w:r>
          </w:p>
        </w:tc>
        <w:tc>
          <w:tcPr>
            <w:tcW w:w="1221"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3.847,00</w:t>
            </w:r>
          </w:p>
        </w:tc>
        <w:tc>
          <w:tcPr>
            <w:tcW w:w="1275" w:type="dxa"/>
            <w:tcBorders>
              <w:top w:val="nil"/>
              <w:left w:val="nil"/>
              <w:bottom w:val="single" w:sz="4"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1.265,00</w:t>
            </w:r>
          </w:p>
        </w:tc>
      </w:tr>
      <w:tr w:rsidR="00C067CC" w:rsidRPr="002B107D" w:rsidTr="002B107D">
        <w:trPr>
          <w:trHeight w:val="286"/>
        </w:trPr>
        <w:tc>
          <w:tcPr>
            <w:tcW w:w="1115" w:type="dxa"/>
            <w:tcBorders>
              <w:top w:val="nil"/>
              <w:left w:val="single" w:sz="4" w:space="0" w:color="auto"/>
              <w:bottom w:val="single" w:sz="18" w:space="0" w:color="auto"/>
              <w:right w:val="single" w:sz="4" w:space="0" w:color="auto"/>
            </w:tcBorders>
            <w:shd w:val="clear" w:color="000000" w:fill="FFFFFF"/>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2008</w:t>
            </w:r>
          </w:p>
        </w:tc>
        <w:tc>
          <w:tcPr>
            <w:tcW w:w="1114" w:type="dxa"/>
            <w:tcBorders>
              <w:top w:val="nil"/>
              <w:left w:val="nil"/>
              <w:bottom w:val="single" w:sz="18" w:space="0" w:color="auto"/>
              <w:right w:val="single" w:sz="4" w:space="0" w:color="auto"/>
            </w:tcBorders>
            <w:shd w:val="clear" w:color="000000" w:fill="FFFFFF"/>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1580</w:t>
            </w:r>
          </w:p>
        </w:tc>
        <w:tc>
          <w:tcPr>
            <w:tcW w:w="1114" w:type="dxa"/>
            <w:tcBorders>
              <w:top w:val="nil"/>
              <w:left w:val="nil"/>
              <w:bottom w:val="single" w:sz="18"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2.826,00</w:t>
            </w:r>
          </w:p>
        </w:tc>
        <w:tc>
          <w:tcPr>
            <w:tcW w:w="1128" w:type="dxa"/>
            <w:tcBorders>
              <w:top w:val="nil"/>
              <w:left w:val="nil"/>
              <w:bottom w:val="single" w:sz="18"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3.864,00</w:t>
            </w:r>
          </w:p>
        </w:tc>
        <w:tc>
          <w:tcPr>
            <w:tcW w:w="1114" w:type="dxa"/>
            <w:tcBorders>
              <w:top w:val="nil"/>
              <w:left w:val="nil"/>
              <w:bottom w:val="single" w:sz="18"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492,00</w:t>
            </w:r>
          </w:p>
        </w:tc>
        <w:tc>
          <w:tcPr>
            <w:tcW w:w="1114" w:type="dxa"/>
            <w:tcBorders>
              <w:top w:val="nil"/>
              <w:left w:val="nil"/>
              <w:bottom w:val="single" w:sz="18"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color w:val="000000"/>
                <w:sz w:val="20"/>
                <w:szCs w:val="20"/>
                <w:lang w:eastAsia="hr-HR"/>
              </w:rPr>
            </w:pPr>
            <w:r w:rsidRPr="002B107D">
              <w:rPr>
                <w:rFonts w:ascii="Corbel" w:eastAsia="Times New Roman" w:hAnsi="Corbel" w:cs="Times New Roman"/>
                <w:color w:val="000000"/>
                <w:sz w:val="20"/>
                <w:szCs w:val="20"/>
                <w:lang w:val="en-GB" w:eastAsia="hr-HR"/>
              </w:rPr>
              <w:t>932,00</w:t>
            </w:r>
          </w:p>
        </w:tc>
        <w:tc>
          <w:tcPr>
            <w:tcW w:w="1221" w:type="dxa"/>
            <w:tcBorders>
              <w:top w:val="nil"/>
              <w:left w:val="nil"/>
              <w:bottom w:val="single" w:sz="18"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4.058,00</w:t>
            </w:r>
          </w:p>
        </w:tc>
        <w:tc>
          <w:tcPr>
            <w:tcW w:w="1275" w:type="dxa"/>
            <w:tcBorders>
              <w:top w:val="nil"/>
              <w:left w:val="nil"/>
              <w:bottom w:val="single" w:sz="18" w:space="0" w:color="auto"/>
              <w:right w:val="single" w:sz="4" w:space="0" w:color="auto"/>
            </w:tcBorders>
            <w:shd w:val="clear" w:color="auto" w:fill="auto"/>
            <w:noWrap/>
            <w:vAlign w:val="bottom"/>
            <w:hideMark/>
          </w:tcPr>
          <w:p w:rsidR="00C067CC" w:rsidRPr="002B107D" w:rsidRDefault="00C067CC" w:rsidP="002B107D">
            <w:pPr>
              <w:spacing w:after="0" w:line="240" w:lineRule="auto"/>
              <w:jc w:val="right"/>
              <w:rPr>
                <w:rFonts w:ascii="Corbel" w:eastAsia="Times New Roman" w:hAnsi="Corbel" w:cs="Times New Roman"/>
                <w:sz w:val="20"/>
                <w:szCs w:val="20"/>
                <w:lang w:eastAsia="hr-HR"/>
              </w:rPr>
            </w:pPr>
            <w:r w:rsidRPr="002B107D">
              <w:rPr>
                <w:rFonts w:ascii="Corbel" w:eastAsia="Times New Roman" w:hAnsi="Corbel" w:cs="Times New Roman"/>
                <w:sz w:val="20"/>
                <w:szCs w:val="20"/>
                <w:lang w:val="en-GB" w:eastAsia="hr-HR"/>
              </w:rPr>
              <w:t>1.344,00</w:t>
            </w:r>
          </w:p>
        </w:tc>
      </w:tr>
      <w:tr w:rsidR="00C067CC" w:rsidRPr="002B107D" w:rsidTr="002B107D">
        <w:trPr>
          <w:trHeight w:val="271"/>
        </w:trPr>
        <w:tc>
          <w:tcPr>
            <w:tcW w:w="1115" w:type="dxa"/>
            <w:tcBorders>
              <w:top w:val="single" w:sz="18" w:space="0" w:color="auto"/>
              <w:left w:val="single" w:sz="4" w:space="0" w:color="auto"/>
              <w:bottom w:val="single" w:sz="12" w:space="0" w:color="auto"/>
              <w:right w:val="single" w:sz="4" w:space="0" w:color="auto"/>
            </w:tcBorders>
            <w:shd w:val="clear" w:color="auto" w:fill="auto"/>
            <w:noWrap/>
            <w:vAlign w:val="bottom"/>
            <w:hideMark/>
          </w:tcPr>
          <w:p w:rsidR="00C067CC" w:rsidRPr="002B107D" w:rsidRDefault="00C067CC" w:rsidP="002B107D">
            <w:pPr>
              <w:spacing w:after="0" w:line="240" w:lineRule="auto"/>
              <w:jc w:val="center"/>
              <w:rPr>
                <w:rFonts w:ascii="Corbel" w:eastAsia="Times New Roman" w:hAnsi="Corbel" w:cs="Times New Roman"/>
                <w:sz w:val="20"/>
                <w:szCs w:val="20"/>
                <w:lang w:eastAsia="hr-HR"/>
              </w:rPr>
            </w:pPr>
            <w:r w:rsidRPr="002B107D">
              <w:rPr>
                <w:rFonts w:ascii="Corbel" w:eastAsia="Times New Roman" w:hAnsi="Corbel" w:cs="Times New Roman"/>
                <w:sz w:val="20"/>
                <w:szCs w:val="20"/>
                <w:lang w:eastAsia="hr-HR"/>
              </w:rPr>
              <w:t>2009</w:t>
            </w:r>
          </w:p>
        </w:tc>
        <w:tc>
          <w:tcPr>
            <w:tcW w:w="1114" w:type="dxa"/>
            <w:tcBorders>
              <w:top w:val="single" w:sz="18" w:space="0" w:color="auto"/>
              <w:left w:val="nil"/>
              <w:bottom w:val="single" w:sz="12" w:space="0" w:color="auto"/>
              <w:right w:val="single" w:sz="4" w:space="0" w:color="auto"/>
            </w:tcBorders>
            <w:shd w:val="clear" w:color="auto" w:fill="auto"/>
            <w:hideMark/>
          </w:tcPr>
          <w:p w:rsidR="00C067CC" w:rsidRPr="002B107D" w:rsidRDefault="00C067CC"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1474</w:t>
            </w:r>
          </w:p>
        </w:tc>
        <w:tc>
          <w:tcPr>
            <w:tcW w:w="1114" w:type="dxa"/>
            <w:tcBorders>
              <w:top w:val="single" w:sz="18" w:space="0" w:color="auto"/>
              <w:left w:val="nil"/>
              <w:bottom w:val="single" w:sz="12"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2.754,00</w:t>
            </w:r>
          </w:p>
        </w:tc>
        <w:tc>
          <w:tcPr>
            <w:tcW w:w="1128" w:type="dxa"/>
            <w:tcBorders>
              <w:top w:val="single" w:sz="18" w:space="0" w:color="auto"/>
              <w:left w:val="nil"/>
              <w:bottom w:val="single" w:sz="12"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3.744,00</w:t>
            </w:r>
          </w:p>
        </w:tc>
        <w:tc>
          <w:tcPr>
            <w:tcW w:w="1114" w:type="dxa"/>
            <w:tcBorders>
              <w:top w:val="single" w:sz="18" w:space="0" w:color="auto"/>
              <w:left w:val="nil"/>
              <w:bottom w:val="single" w:sz="12"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435,00</w:t>
            </w:r>
          </w:p>
        </w:tc>
        <w:tc>
          <w:tcPr>
            <w:tcW w:w="1114" w:type="dxa"/>
            <w:tcBorders>
              <w:top w:val="single" w:sz="18" w:space="0" w:color="auto"/>
              <w:left w:val="nil"/>
              <w:bottom w:val="single" w:sz="12"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826,00</w:t>
            </w:r>
          </w:p>
        </w:tc>
        <w:tc>
          <w:tcPr>
            <w:tcW w:w="1221" w:type="dxa"/>
            <w:tcBorders>
              <w:top w:val="single" w:sz="18" w:space="0" w:color="auto"/>
              <w:left w:val="nil"/>
              <w:bottom w:val="single" w:sz="12"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3.837,00</w:t>
            </w:r>
          </w:p>
        </w:tc>
        <w:tc>
          <w:tcPr>
            <w:tcW w:w="1275" w:type="dxa"/>
            <w:tcBorders>
              <w:top w:val="single" w:sz="18" w:space="0" w:color="auto"/>
              <w:left w:val="nil"/>
              <w:bottom w:val="single" w:sz="12" w:space="0" w:color="auto"/>
              <w:right w:val="single" w:sz="4" w:space="0" w:color="auto"/>
            </w:tcBorders>
            <w:shd w:val="clear" w:color="auto" w:fill="auto"/>
            <w:vAlign w:val="bottom"/>
            <w:hideMark/>
          </w:tcPr>
          <w:p w:rsidR="00C067CC" w:rsidRPr="002B107D" w:rsidRDefault="00C067CC"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1.273,00</w:t>
            </w:r>
          </w:p>
        </w:tc>
      </w:tr>
      <w:tr w:rsidR="00D10527" w:rsidRPr="002B107D" w:rsidTr="002B107D">
        <w:trPr>
          <w:trHeight w:val="271"/>
        </w:trPr>
        <w:tc>
          <w:tcPr>
            <w:tcW w:w="1115" w:type="dxa"/>
            <w:tcBorders>
              <w:top w:val="single" w:sz="12" w:space="0" w:color="auto"/>
              <w:left w:val="single" w:sz="12" w:space="0" w:color="auto"/>
              <w:bottom w:val="single" w:sz="12" w:space="0" w:color="auto"/>
              <w:right w:val="single" w:sz="12" w:space="0" w:color="auto"/>
            </w:tcBorders>
            <w:shd w:val="clear" w:color="000000" w:fill="D9D9D9"/>
            <w:noWrap/>
            <w:vAlign w:val="bottom"/>
          </w:tcPr>
          <w:p w:rsidR="00D10527" w:rsidRPr="002B107D" w:rsidRDefault="002B107D" w:rsidP="002B107D">
            <w:pPr>
              <w:spacing w:after="0" w:line="240" w:lineRule="auto"/>
              <w:jc w:val="center"/>
              <w:rPr>
                <w:rFonts w:ascii="Corbel" w:eastAsia="Times New Roman" w:hAnsi="Corbel" w:cs="Times New Roman"/>
                <w:sz w:val="20"/>
                <w:szCs w:val="20"/>
                <w:lang w:eastAsia="hr-HR"/>
              </w:rPr>
            </w:pPr>
            <w:proofErr w:type="spellStart"/>
            <w:r>
              <w:rPr>
                <w:rFonts w:ascii="Corbel" w:eastAsia="Times New Roman" w:hAnsi="Corbel" w:cs="Times New Roman"/>
                <w:sz w:val="20"/>
                <w:szCs w:val="20"/>
                <w:lang w:eastAsia="hr-HR"/>
              </w:rPr>
              <w:t>PGS</w:t>
            </w:r>
            <w:proofErr w:type="spellEnd"/>
            <w:r w:rsidR="00D10527" w:rsidRPr="002B107D">
              <w:rPr>
                <w:rFonts w:ascii="Corbel" w:eastAsia="Times New Roman" w:hAnsi="Corbel" w:cs="Times New Roman"/>
                <w:sz w:val="20"/>
                <w:szCs w:val="20"/>
                <w:lang w:eastAsia="hr-HR"/>
              </w:rPr>
              <w:t xml:space="preserve"> rasta</w:t>
            </w:r>
          </w:p>
        </w:tc>
        <w:tc>
          <w:tcPr>
            <w:tcW w:w="1114"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b/>
                <w:bCs/>
                <w:sz w:val="20"/>
                <w:szCs w:val="20"/>
                <w:lang w:eastAsia="hr-HR"/>
              </w:rPr>
            </w:pPr>
            <w:r w:rsidRPr="002B107D">
              <w:rPr>
                <w:rFonts w:ascii="Corbel" w:eastAsia="Times New Roman" w:hAnsi="Corbel" w:cs="Times New Roman"/>
                <w:b/>
                <w:bCs/>
                <w:sz w:val="20"/>
                <w:szCs w:val="20"/>
                <w:lang w:eastAsia="hr-HR"/>
              </w:rPr>
              <w:t>10,30%</w:t>
            </w:r>
          </w:p>
        </w:tc>
        <w:tc>
          <w:tcPr>
            <w:tcW w:w="1114"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7,90%</w:t>
            </w:r>
          </w:p>
        </w:tc>
        <w:tc>
          <w:tcPr>
            <w:tcW w:w="1128"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7,12%</w:t>
            </w:r>
          </w:p>
        </w:tc>
        <w:tc>
          <w:tcPr>
            <w:tcW w:w="1114"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8,23%</w:t>
            </w:r>
          </w:p>
        </w:tc>
        <w:tc>
          <w:tcPr>
            <w:tcW w:w="1114"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8,29%</w:t>
            </w:r>
          </w:p>
        </w:tc>
        <w:tc>
          <w:tcPr>
            <w:tcW w:w="1221"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8,40%</w:t>
            </w:r>
          </w:p>
        </w:tc>
        <w:tc>
          <w:tcPr>
            <w:tcW w:w="1275" w:type="dxa"/>
            <w:tcBorders>
              <w:top w:val="single" w:sz="12" w:space="0" w:color="auto"/>
              <w:left w:val="single" w:sz="12" w:space="0" w:color="auto"/>
              <w:bottom w:val="single" w:sz="12" w:space="0" w:color="auto"/>
              <w:right w:val="single" w:sz="12" w:space="0" w:color="auto"/>
            </w:tcBorders>
            <w:shd w:val="clear" w:color="000000" w:fill="D9D9D9"/>
            <w:vAlign w:val="bottom"/>
          </w:tcPr>
          <w:p w:rsidR="00D10527" w:rsidRPr="002B107D" w:rsidRDefault="00D10527" w:rsidP="002B107D">
            <w:pPr>
              <w:spacing w:after="0" w:line="240" w:lineRule="auto"/>
              <w:jc w:val="right"/>
              <w:rPr>
                <w:rFonts w:ascii="Corbel" w:eastAsia="Times New Roman" w:hAnsi="Corbel" w:cs="Times New Roman"/>
                <w:sz w:val="18"/>
                <w:szCs w:val="18"/>
                <w:lang w:eastAsia="hr-HR"/>
              </w:rPr>
            </w:pPr>
            <w:r w:rsidRPr="002B107D">
              <w:rPr>
                <w:rFonts w:ascii="Corbel" w:eastAsia="Times New Roman" w:hAnsi="Corbel" w:cs="Times New Roman"/>
                <w:sz w:val="18"/>
                <w:szCs w:val="18"/>
                <w:lang w:eastAsia="hr-HR"/>
              </w:rPr>
              <w:t>9,51%</w:t>
            </w:r>
          </w:p>
        </w:tc>
      </w:tr>
    </w:tbl>
    <w:p w:rsidR="00C067CC" w:rsidRPr="002B107D" w:rsidRDefault="00C067CC" w:rsidP="002B107D">
      <w:pPr>
        <w:spacing w:line="240" w:lineRule="auto"/>
        <w:rPr>
          <w:rFonts w:ascii="Corbel" w:hAnsi="Corbel"/>
        </w:rPr>
      </w:pPr>
      <w:r w:rsidRPr="002B107D">
        <w:rPr>
          <w:rFonts w:ascii="Corbel" w:hAnsi="Corbel"/>
        </w:rPr>
        <w:t>Izvor: DZS, Priopćenja i statistička izvješća, po godinama</w:t>
      </w:r>
    </w:p>
    <w:p w:rsidR="00C067CC" w:rsidRPr="002B107D" w:rsidRDefault="003C0835" w:rsidP="002B107D">
      <w:pPr>
        <w:spacing w:line="240" w:lineRule="auto"/>
        <w:jc w:val="both"/>
        <w:rPr>
          <w:rFonts w:ascii="Corbel" w:hAnsi="Corbel" w:cs="Times New Roman"/>
        </w:rPr>
      </w:pPr>
      <w:r w:rsidRPr="002B107D">
        <w:rPr>
          <w:rFonts w:ascii="Corbel" w:hAnsi="Corbel" w:cs="Times New Roman"/>
        </w:rPr>
        <w:t xml:space="preserve">Podaci o BDP-u od 2000.-2009. nam pokazuju kako se gospodarstvo Zadarske županije, a time i grada Zadra </w:t>
      </w:r>
      <w:r w:rsidRPr="00341212">
        <w:rPr>
          <w:rFonts w:ascii="Corbel" w:hAnsi="Corbel" w:cs="Times New Roman"/>
        </w:rPr>
        <w:t>uspješno oporavilo od ratnih</w:t>
      </w:r>
      <w:r w:rsidR="00122293" w:rsidRPr="00341212">
        <w:rPr>
          <w:rFonts w:ascii="Corbel" w:hAnsi="Corbel" w:cs="Times New Roman"/>
        </w:rPr>
        <w:t xml:space="preserve"> razaranja</w:t>
      </w:r>
      <w:r w:rsidRPr="00341212">
        <w:rPr>
          <w:rFonts w:ascii="Corbel" w:hAnsi="Corbel" w:cs="Times New Roman"/>
        </w:rPr>
        <w:t xml:space="preserve"> i raslo vi</w:t>
      </w:r>
      <w:r w:rsidR="005F34E4" w:rsidRPr="00341212">
        <w:rPr>
          <w:rFonts w:ascii="Corbel" w:hAnsi="Corbel" w:cs="Times New Roman"/>
        </w:rPr>
        <w:t>še od drugih Jadranskih županija</w:t>
      </w:r>
      <w:r w:rsidRPr="00341212">
        <w:rPr>
          <w:rFonts w:ascii="Corbel" w:hAnsi="Corbel" w:cs="Times New Roman"/>
        </w:rPr>
        <w:t xml:space="preserve">, sve do 2009. </w:t>
      </w:r>
      <w:r w:rsidR="004C3BA0" w:rsidRPr="00341212">
        <w:rPr>
          <w:rFonts w:ascii="Corbel" w:hAnsi="Corbel" w:cs="Times New Roman"/>
        </w:rPr>
        <w:t>g</w:t>
      </w:r>
      <w:r w:rsidRPr="00341212">
        <w:rPr>
          <w:rFonts w:ascii="Corbel" w:hAnsi="Corbel" w:cs="Times New Roman"/>
        </w:rPr>
        <w:t xml:space="preserve">odine kada sva gospodarstva </w:t>
      </w:r>
      <w:r w:rsidR="00122293" w:rsidRPr="00341212">
        <w:rPr>
          <w:rFonts w:ascii="Corbel" w:hAnsi="Corbel" w:cs="Times New Roman"/>
        </w:rPr>
        <w:t>ulaze</w:t>
      </w:r>
      <w:r w:rsidR="004C3BA0" w:rsidRPr="00341212">
        <w:rPr>
          <w:rFonts w:ascii="Corbel" w:hAnsi="Corbel" w:cs="Times New Roman"/>
        </w:rPr>
        <w:t xml:space="preserve"> u razdoblje</w:t>
      </w:r>
      <w:r w:rsidRPr="00341212">
        <w:rPr>
          <w:rFonts w:ascii="Corbel" w:hAnsi="Corbel" w:cs="Times New Roman"/>
        </w:rPr>
        <w:t xml:space="preserve"> stagnacije. Premda ti podaci </w:t>
      </w:r>
      <w:r w:rsidR="00F31DDB" w:rsidRPr="00341212">
        <w:rPr>
          <w:rFonts w:ascii="Corbel" w:hAnsi="Corbel" w:cs="Times New Roman"/>
        </w:rPr>
        <w:t>ohrabruju</w:t>
      </w:r>
      <w:r w:rsidRPr="00341212">
        <w:rPr>
          <w:rFonts w:ascii="Corbel" w:hAnsi="Corbel" w:cs="Times New Roman"/>
        </w:rPr>
        <w:t xml:space="preserve"> </w:t>
      </w:r>
      <w:r w:rsidR="004C3BA0" w:rsidRPr="00341212">
        <w:rPr>
          <w:rFonts w:ascii="Corbel" w:hAnsi="Corbel" w:cs="Times New Roman"/>
        </w:rPr>
        <w:t xml:space="preserve"> </w:t>
      </w:r>
      <w:r w:rsidRPr="00341212">
        <w:rPr>
          <w:rFonts w:ascii="Corbel" w:hAnsi="Corbel" w:cs="Times New Roman"/>
        </w:rPr>
        <w:t>on</w:t>
      </w:r>
      <w:r w:rsidR="00F31DDB" w:rsidRPr="00341212">
        <w:rPr>
          <w:rFonts w:ascii="Corbel" w:hAnsi="Corbel" w:cs="Times New Roman"/>
        </w:rPr>
        <w:t>i ne govore dovoljno o</w:t>
      </w:r>
      <w:r w:rsidR="007E1619" w:rsidRPr="00341212">
        <w:rPr>
          <w:rFonts w:ascii="Corbel" w:hAnsi="Corbel" w:cs="Times New Roman"/>
        </w:rPr>
        <w:t xml:space="preserve"> samoj strukturi rasta, tj. pokretačima rasta gospodarstva. Iz njih ne možemo vidjeti dali ovakva struktura gospodarstva može generirati dugoročni rast</w:t>
      </w:r>
      <w:r w:rsidR="00F63385" w:rsidRPr="00341212">
        <w:rPr>
          <w:rFonts w:ascii="Corbel" w:hAnsi="Corbel" w:cs="Times New Roman"/>
        </w:rPr>
        <w:t>, niti kakav je životni standard stanovništva</w:t>
      </w:r>
      <w:r w:rsidR="007E1619" w:rsidRPr="00341212">
        <w:rPr>
          <w:rFonts w:ascii="Corbel" w:hAnsi="Corbel" w:cs="Times New Roman"/>
        </w:rPr>
        <w:t xml:space="preserve"> </w:t>
      </w:r>
      <w:r w:rsidR="00F31DDB" w:rsidRPr="00341212">
        <w:rPr>
          <w:rFonts w:ascii="Corbel" w:hAnsi="Corbel" w:cs="Times New Roman"/>
        </w:rPr>
        <w:t xml:space="preserve"> u </w:t>
      </w:r>
      <w:r w:rsidR="004C3BA0" w:rsidRPr="00341212">
        <w:rPr>
          <w:rFonts w:ascii="Corbel" w:hAnsi="Corbel" w:cs="Times New Roman"/>
        </w:rPr>
        <w:t>gradov</w:t>
      </w:r>
      <w:r w:rsidR="00F31DDB" w:rsidRPr="00341212">
        <w:rPr>
          <w:rFonts w:ascii="Corbel" w:hAnsi="Corbel" w:cs="Times New Roman"/>
        </w:rPr>
        <w:t>im</w:t>
      </w:r>
      <w:r w:rsidR="004C3BA0" w:rsidRPr="00341212">
        <w:rPr>
          <w:rFonts w:ascii="Corbel" w:hAnsi="Corbel" w:cs="Times New Roman"/>
        </w:rPr>
        <w:t>a i županija</w:t>
      </w:r>
      <w:r w:rsidR="00F31DDB" w:rsidRPr="00341212">
        <w:rPr>
          <w:rFonts w:ascii="Corbel" w:hAnsi="Corbel" w:cs="Times New Roman"/>
        </w:rPr>
        <w:t>ma</w:t>
      </w:r>
      <w:r w:rsidR="00F63385" w:rsidRPr="00341212">
        <w:rPr>
          <w:rFonts w:ascii="Corbel" w:hAnsi="Corbel" w:cs="Times New Roman"/>
        </w:rPr>
        <w:t xml:space="preserve">. </w:t>
      </w:r>
      <w:r w:rsidRPr="00341212">
        <w:rPr>
          <w:rFonts w:ascii="Corbel" w:hAnsi="Corbel" w:cs="Times New Roman"/>
        </w:rPr>
        <w:t xml:space="preserve">Za Zadar i Zadarsku županiju je važno </w:t>
      </w:r>
      <w:r w:rsidR="00122293" w:rsidRPr="00341212">
        <w:rPr>
          <w:rFonts w:ascii="Corbel" w:hAnsi="Corbel" w:cs="Times New Roman"/>
        </w:rPr>
        <w:t xml:space="preserve">imati na umu </w:t>
      </w:r>
      <w:r w:rsidRPr="00341212">
        <w:rPr>
          <w:rFonts w:ascii="Corbel" w:hAnsi="Corbel" w:cs="Times New Roman"/>
        </w:rPr>
        <w:t>da ako</w:t>
      </w:r>
      <w:r w:rsidR="004C3BA0" w:rsidRPr="00341212">
        <w:rPr>
          <w:rFonts w:ascii="Corbel" w:hAnsi="Corbel" w:cs="Times New Roman"/>
        </w:rPr>
        <w:t xml:space="preserve"> se želi</w:t>
      </w:r>
      <w:r w:rsidRPr="00341212">
        <w:rPr>
          <w:rFonts w:ascii="Corbel" w:hAnsi="Corbel" w:cs="Times New Roman"/>
        </w:rPr>
        <w:t xml:space="preserve"> podići gospodarstvo na prosjek RH i dostići razvijenije županije </w:t>
      </w:r>
      <w:r w:rsidR="00122293" w:rsidRPr="00341212">
        <w:rPr>
          <w:rFonts w:ascii="Corbel" w:hAnsi="Corbel" w:cs="Times New Roman"/>
        </w:rPr>
        <w:t xml:space="preserve">RH </w:t>
      </w:r>
      <w:r w:rsidRPr="00341212">
        <w:rPr>
          <w:rFonts w:ascii="Corbel" w:hAnsi="Corbel" w:cs="Times New Roman"/>
        </w:rPr>
        <w:t xml:space="preserve">da </w:t>
      </w:r>
      <w:r w:rsidR="00F31DDB" w:rsidRPr="00341212">
        <w:rPr>
          <w:rFonts w:ascii="Corbel" w:hAnsi="Corbel" w:cs="Times New Roman"/>
        </w:rPr>
        <w:t xml:space="preserve">grad i županija moraju </w:t>
      </w:r>
      <w:r w:rsidRPr="00341212">
        <w:rPr>
          <w:rFonts w:ascii="Corbel" w:hAnsi="Corbel" w:cs="Times New Roman"/>
        </w:rPr>
        <w:t xml:space="preserve">nastaviti rasti brže od ostalih „razvijenijih“  </w:t>
      </w:r>
      <w:r w:rsidR="004C3BA0" w:rsidRPr="00341212">
        <w:rPr>
          <w:rFonts w:ascii="Corbel" w:hAnsi="Corbel" w:cs="Times New Roman"/>
        </w:rPr>
        <w:t xml:space="preserve">županija </w:t>
      </w:r>
      <w:r w:rsidR="005F34E4" w:rsidRPr="00341212">
        <w:rPr>
          <w:rFonts w:ascii="Corbel" w:hAnsi="Corbel" w:cs="Times New Roman"/>
        </w:rPr>
        <w:t xml:space="preserve">i </w:t>
      </w:r>
      <w:r w:rsidR="00F31DDB" w:rsidRPr="00341212">
        <w:rPr>
          <w:rFonts w:ascii="Corbel" w:hAnsi="Corbel" w:cs="Times New Roman"/>
        </w:rPr>
        <w:t>u sljedećem desetljeću</w:t>
      </w:r>
      <w:r w:rsidR="004C3BA0" w:rsidRPr="002B107D">
        <w:rPr>
          <w:rFonts w:ascii="Corbel" w:hAnsi="Corbel" w:cs="Times New Roman"/>
        </w:rPr>
        <w:t>.</w:t>
      </w:r>
    </w:p>
    <w:p w:rsidR="004C1A46" w:rsidRDefault="004C1A46" w:rsidP="004C1A46">
      <w:pPr>
        <w:pStyle w:val="Opisslike"/>
        <w:keepNext/>
      </w:pPr>
      <w:bookmarkStart w:id="3" w:name="_Toc351538464"/>
      <w:r>
        <w:lastRenderedPageBreak/>
        <w:t xml:space="preserve">Slika </w:t>
      </w:r>
      <w:fldSimple w:instr=" SEQ Slika \* ARABIC ">
        <w:r w:rsidR="001E7A09">
          <w:rPr>
            <w:noProof/>
          </w:rPr>
          <w:t>1</w:t>
        </w:r>
      </w:fldSimple>
      <w:r>
        <w:t>: BDP po županijama od 2000. do 2009. godine</w:t>
      </w:r>
      <w:bookmarkEnd w:id="3"/>
    </w:p>
    <w:p w:rsidR="00C067CC" w:rsidRDefault="00C067CC" w:rsidP="003E64DC">
      <w:pPr>
        <w:spacing w:after="0"/>
      </w:pPr>
      <w:r>
        <w:rPr>
          <w:noProof/>
          <w:lang w:eastAsia="hr-HR"/>
        </w:rPr>
        <w:drawing>
          <wp:inline distT="0" distB="0" distL="0" distR="0" wp14:anchorId="78CEF558" wp14:editId="36A71C7E">
            <wp:extent cx="5829300" cy="3009900"/>
            <wp:effectExtent l="0" t="0" r="19050" b="19050"/>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E64DC" w:rsidRPr="003E64DC" w:rsidRDefault="003E64DC" w:rsidP="003E64DC">
      <w:r>
        <w:t xml:space="preserve">Izvor: </w:t>
      </w:r>
      <w:r w:rsidRPr="003E64DC">
        <w:t>DZS, Priopćenja i statistička izvješća, po godinama</w:t>
      </w:r>
      <w:r>
        <w:t>, obrada ZADRA</w:t>
      </w:r>
    </w:p>
    <w:p w:rsidR="003E64DC" w:rsidRPr="002B107D" w:rsidRDefault="00F31DDB" w:rsidP="002B107D">
      <w:pPr>
        <w:spacing w:line="240" w:lineRule="auto"/>
        <w:jc w:val="both"/>
        <w:rPr>
          <w:rFonts w:ascii="Corbel" w:hAnsi="Corbel" w:cs="Times New Roman"/>
        </w:rPr>
      </w:pPr>
      <w:r w:rsidRPr="002B107D">
        <w:rPr>
          <w:rFonts w:ascii="Corbel" w:hAnsi="Corbel" w:cs="Times New Roman"/>
        </w:rPr>
        <w:t>Podaci o rastu BDP-a na općenitoj razini ilustriraju kojom brzinom je neko gospodarstvo raslo. Da bi vidjeli koji su uzroci rasta tj. koje djelatnost</w:t>
      </w:r>
      <w:r w:rsidR="00AE260B" w:rsidRPr="002B107D">
        <w:rPr>
          <w:rFonts w:ascii="Corbel" w:hAnsi="Corbel" w:cs="Times New Roman"/>
        </w:rPr>
        <w:t>i su najviše zaslužne za rast treba promotriti strukturu BDP-a, tj. djelatnosti koje imaju najveći udio u BDP-u županija (u odnosu na ukupni BDP Hrvatske).</w:t>
      </w:r>
    </w:p>
    <w:p w:rsidR="00AB6EB3" w:rsidRPr="00341212" w:rsidRDefault="003F2909" w:rsidP="002B107D">
      <w:pPr>
        <w:spacing w:line="240" w:lineRule="auto"/>
        <w:jc w:val="both"/>
        <w:rPr>
          <w:rFonts w:ascii="Corbel" w:hAnsi="Corbel" w:cs="Times New Roman"/>
        </w:rPr>
      </w:pPr>
      <w:r w:rsidRPr="00341212">
        <w:rPr>
          <w:rFonts w:ascii="Corbel" w:hAnsi="Corbel" w:cs="Times New Roman"/>
        </w:rPr>
        <w:t>U strukturi gospodarstva</w:t>
      </w:r>
      <w:r w:rsidR="00141CB7" w:rsidRPr="00341212">
        <w:rPr>
          <w:rFonts w:ascii="Corbel" w:hAnsi="Corbel" w:cs="Times New Roman"/>
        </w:rPr>
        <w:t xml:space="preserve"> Zadarske županije</w:t>
      </w:r>
      <w:r w:rsidR="005F34E4" w:rsidRPr="00341212">
        <w:rPr>
          <w:rFonts w:ascii="Corbel" w:hAnsi="Corbel" w:cs="Times New Roman"/>
        </w:rPr>
        <w:t>,</w:t>
      </w:r>
      <w:r w:rsidRPr="00341212">
        <w:rPr>
          <w:rFonts w:ascii="Corbel" w:hAnsi="Corbel" w:cs="Times New Roman"/>
        </w:rPr>
        <w:t xml:space="preserve"> uspore</w:t>
      </w:r>
      <w:r w:rsidR="005F34E4" w:rsidRPr="00341212">
        <w:rPr>
          <w:rFonts w:ascii="Corbel" w:hAnsi="Corbel" w:cs="Times New Roman"/>
        </w:rPr>
        <w:t>đujući se sa ostalim županijama</w:t>
      </w:r>
      <w:r w:rsidRPr="00341212">
        <w:rPr>
          <w:rFonts w:ascii="Corbel" w:hAnsi="Corbel" w:cs="Times New Roman"/>
        </w:rPr>
        <w:t xml:space="preserve"> posebno je izražena </w:t>
      </w:r>
      <w:r w:rsidR="00787EC2" w:rsidRPr="00341212">
        <w:rPr>
          <w:rFonts w:ascii="Corbel" w:hAnsi="Corbel" w:cs="Times New Roman"/>
        </w:rPr>
        <w:t>djelatnost poljoprivrede i ribarstva</w:t>
      </w:r>
      <w:r w:rsidR="00F839C4" w:rsidRPr="00341212">
        <w:rPr>
          <w:rFonts w:ascii="Corbel" w:hAnsi="Corbel" w:cs="Times New Roman"/>
        </w:rPr>
        <w:t>.</w:t>
      </w:r>
      <w:r w:rsidR="00787EC2" w:rsidRPr="00341212">
        <w:rPr>
          <w:rFonts w:ascii="Corbel" w:hAnsi="Corbel" w:cs="Times New Roman"/>
        </w:rPr>
        <w:t xml:space="preserve"> </w:t>
      </w:r>
      <w:r w:rsidR="00F839C4" w:rsidRPr="00341212">
        <w:rPr>
          <w:rFonts w:ascii="Corbel" w:hAnsi="Corbel" w:cs="Times New Roman"/>
        </w:rPr>
        <w:t xml:space="preserve">Iako </w:t>
      </w:r>
      <w:proofErr w:type="spellStart"/>
      <w:r w:rsidR="00F839C4" w:rsidRPr="00341212">
        <w:rPr>
          <w:rFonts w:ascii="Corbel" w:hAnsi="Corbel" w:cs="Times New Roman"/>
        </w:rPr>
        <w:t>SDŽ</w:t>
      </w:r>
      <w:proofErr w:type="spellEnd"/>
      <w:r w:rsidR="00F839C4" w:rsidRPr="00341212">
        <w:rPr>
          <w:rFonts w:ascii="Corbel" w:hAnsi="Corbel" w:cs="Times New Roman"/>
        </w:rPr>
        <w:t xml:space="preserve"> u toj djelatnosti ima veći udio u BDV- od </w:t>
      </w:r>
      <w:proofErr w:type="spellStart"/>
      <w:r w:rsidR="00F839C4" w:rsidRPr="00341212">
        <w:rPr>
          <w:rFonts w:ascii="Corbel" w:hAnsi="Corbel" w:cs="Times New Roman"/>
        </w:rPr>
        <w:t>ZŽ</w:t>
      </w:r>
      <w:proofErr w:type="spellEnd"/>
      <w:r w:rsidR="00F839C4" w:rsidRPr="00341212">
        <w:rPr>
          <w:rFonts w:ascii="Corbel" w:hAnsi="Corbel" w:cs="Times New Roman"/>
        </w:rPr>
        <w:t xml:space="preserve">, udio od 3,6 % za </w:t>
      </w:r>
      <w:proofErr w:type="spellStart"/>
      <w:r w:rsidR="00F839C4" w:rsidRPr="00341212">
        <w:rPr>
          <w:rFonts w:ascii="Corbel" w:hAnsi="Corbel" w:cs="Times New Roman"/>
        </w:rPr>
        <w:t>ZŽ</w:t>
      </w:r>
      <w:proofErr w:type="spellEnd"/>
      <w:r w:rsidR="00F839C4" w:rsidRPr="00341212">
        <w:rPr>
          <w:rFonts w:ascii="Corbel" w:hAnsi="Corbel" w:cs="Times New Roman"/>
        </w:rPr>
        <w:t xml:space="preserve"> je veći nego što je u drugim županijama. Stoga tu djelatnost </w:t>
      </w:r>
      <w:r w:rsidRPr="00341212">
        <w:rPr>
          <w:rFonts w:ascii="Corbel" w:hAnsi="Corbel" w:cs="Times New Roman"/>
        </w:rPr>
        <w:t>treba gleda</w:t>
      </w:r>
      <w:r w:rsidR="00787EC2" w:rsidRPr="00341212">
        <w:rPr>
          <w:rFonts w:ascii="Corbel" w:hAnsi="Corbel" w:cs="Times New Roman"/>
        </w:rPr>
        <w:t>ti kao</w:t>
      </w:r>
      <w:r w:rsidR="00F839C4" w:rsidRPr="00341212">
        <w:rPr>
          <w:rFonts w:ascii="Corbel" w:hAnsi="Corbel" w:cs="Times New Roman"/>
        </w:rPr>
        <w:t xml:space="preserve"> komparativnu prednost županije.</w:t>
      </w:r>
      <w:r w:rsidR="00787EC2" w:rsidRPr="00341212">
        <w:rPr>
          <w:rFonts w:ascii="Corbel" w:hAnsi="Corbel" w:cs="Times New Roman"/>
        </w:rPr>
        <w:t xml:space="preserve"> Nadalje, cijela Jadranska regija ima visoke udjele u djelatnosti građevinarstva, zatim djelatnosti trgovine i djelatnosti poslovanja nekretninama koje su redom djelatnosti</w:t>
      </w:r>
      <w:r w:rsidR="0092000D" w:rsidRPr="00341212">
        <w:rPr>
          <w:rFonts w:ascii="Corbel" w:hAnsi="Corbel" w:cs="Times New Roman"/>
        </w:rPr>
        <w:t xml:space="preserve"> usluga</w:t>
      </w:r>
      <w:r w:rsidR="00787EC2" w:rsidRPr="00341212">
        <w:rPr>
          <w:rFonts w:ascii="Corbel" w:hAnsi="Corbel" w:cs="Times New Roman"/>
        </w:rPr>
        <w:t xml:space="preserve"> koje ne generiraju održivi rast područja.</w:t>
      </w:r>
      <w:r w:rsidR="005F34E4" w:rsidRPr="00341212">
        <w:rPr>
          <w:rFonts w:ascii="Corbel" w:hAnsi="Corbel" w:cs="Times New Roman"/>
        </w:rPr>
        <w:t xml:space="preserve"> Dok je primjerice prerađivačka djelatnost na 27% za Jadransku RH i na vrlo niskih 1,</w:t>
      </w:r>
      <w:proofErr w:type="spellStart"/>
      <w:r w:rsidR="005F34E4" w:rsidRPr="00341212">
        <w:rPr>
          <w:rFonts w:ascii="Corbel" w:hAnsi="Corbel" w:cs="Times New Roman"/>
        </w:rPr>
        <w:t>1</w:t>
      </w:r>
      <w:proofErr w:type="spellEnd"/>
      <w:r w:rsidR="005F34E4" w:rsidRPr="00341212">
        <w:rPr>
          <w:rFonts w:ascii="Corbel" w:hAnsi="Corbel" w:cs="Times New Roman"/>
        </w:rPr>
        <w:t>% za Zadarsku županiju.</w:t>
      </w:r>
    </w:p>
    <w:p w:rsidR="00BB0E12" w:rsidRDefault="00BB0E12" w:rsidP="00BB0E12">
      <w:pPr>
        <w:pStyle w:val="Opisslike"/>
        <w:keepNext/>
      </w:pPr>
      <w:bookmarkStart w:id="4" w:name="_Toc351538408"/>
      <w:r>
        <w:t xml:space="preserve">Tablica </w:t>
      </w:r>
      <w:fldSimple w:instr=" SEQ Tablica \* ARABIC ">
        <w:r w:rsidR="00280AAE">
          <w:rPr>
            <w:noProof/>
          </w:rPr>
          <w:t>3</w:t>
        </w:r>
      </w:fldSimple>
      <w:r>
        <w:t>: Udio županija u BDV Hrvatske prema djelatnostima NKD-a 2007.</w:t>
      </w:r>
      <w:r w:rsidR="00787EC2">
        <w:t xml:space="preserve"> </w:t>
      </w:r>
      <w:r w:rsidR="00A02648">
        <w:t>u</w:t>
      </w:r>
      <w:r w:rsidR="00787EC2">
        <w:t xml:space="preserve"> 2009. godini</w:t>
      </w:r>
      <w:bookmarkEnd w:id="4"/>
    </w:p>
    <w:tbl>
      <w:tblPr>
        <w:tblStyle w:val="Reetkatablice"/>
        <w:tblW w:w="9379" w:type="dxa"/>
        <w:tblLayout w:type="fixed"/>
        <w:tblLook w:val="04A0" w:firstRow="1" w:lastRow="0" w:firstColumn="1" w:lastColumn="0" w:noHBand="0" w:noVBand="1"/>
      </w:tblPr>
      <w:tblGrid>
        <w:gridCol w:w="1812"/>
        <w:gridCol w:w="568"/>
        <w:gridCol w:w="723"/>
        <w:gridCol w:w="683"/>
        <w:gridCol w:w="545"/>
        <w:gridCol w:w="545"/>
        <w:gridCol w:w="545"/>
        <w:gridCol w:w="545"/>
        <w:gridCol w:w="545"/>
        <w:gridCol w:w="545"/>
        <w:gridCol w:w="545"/>
        <w:gridCol w:w="545"/>
        <w:gridCol w:w="1233"/>
      </w:tblGrid>
      <w:tr w:rsidR="0030030D" w:rsidRPr="002B107D" w:rsidTr="002B107D">
        <w:trPr>
          <w:trHeight w:val="317"/>
        </w:trPr>
        <w:tc>
          <w:tcPr>
            <w:tcW w:w="1812"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Prostorne jedinice</w:t>
            </w:r>
          </w:p>
        </w:tc>
        <w:tc>
          <w:tcPr>
            <w:tcW w:w="568"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A</w:t>
            </w:r>
          </w:p>
        </w:tc>
        <w:tc>
          <w:tcPr>
            <w:tcW w:w="1406" w:type="dxa"/>
            <w:gridSpan w:val="2"/>
            <w:tcBorders>
              <w:bottom w:val="single" w:sz="12" w:space="0" w:color="auto"/>
            </w:tcBorders>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B,C,D,E</w:t>
            </w:r>
          </w:p>
        </w:tc>
        <w:tc>
          <w:tcPr>
            <w:tcW w:w="545"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F</w:t>
            </w:r>
          </w:p>
        </w:tc>
        <w:tc>
          <w:tcPr>
            <w:tcW w:w="545" w:type="dxa"/>
            <w:vMerge w:val="restart"/>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G,H,I</w:t>
            </w:r>
          </w:p>
        </w:tc>
        <w:tc>
          <w:tcPr>
            <w:tcW w:w="545"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 xml:space="preserve">J </w:t>
            </w:r>
          </w:p>
        </w:tc>
        <w:tc>
          <w:tcPr>
            <w:tcW w:w="545"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K</w:t>
            </w:r>
          </w:p>
        </w:tc>
        <w:tc>
          <w:tcPr>
            <w:tcW w:w="545"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L</w:t>
            </w:r>
          </w:p>
        </w:tc>
        <w:tc>
          <w:tcPr>
            <w:tcW w:w="545" w:type="dxa"/>
            <w:vMerge w:val="restart"/>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M,N</w:t>
            </w:r>
          </w:p>
        </w:tc>
        <w:tc>
          <w:tcPr>
            <w:tcW w:w="545" w:type="dxa"/>
            <w:vMerge w:val="restart"/>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O,P,Q</w:t>
            </w:r>
          </w:p>
        </w:tc>
        <w:tc>
          <w:tcPr>
            <w:tcW w:w="545" w:type="dxa"/>
            <w:vMerge w:val="restart"/>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R,S,T</w:t>
            </w:r>
            <w:r w:rsidRPr="002B107D">
              <w:rPr>
                <w:rFonts w:ascii="Corbel" w:hAnsi="Corbel" w:cs="Times New Roman"/>
                <w:sz w:val="18"/>
                <w:szCs w:val="18"/>
              </w:rPr>
              <w:br/>
            </w:r>
          </w:p>
        </w:tc>
        <w:tc>
          <w:tcPr>
            <w:tcW w:w="1233" w:type="dxa"/>
            <w:vMerge w:val="restart"/>
            <w:hideMark/>
          </w:tcPr>
          <w:p w:rsidR="00964E3D" w:rsidRPr="002B107D" w:rsidRDefault="00964E3D">
            <w:pPr>
              <w:rPr>
                <w:rFonts w:ascii="Corbel" w:hAnsi="Corbel" w:cs="Times New Roman"/>
                <w:bCs/>
                <w:sz w:val="18"/>
                <w:szCs w:val="18"/>
              </w:rPr>
            </w:pPr>
            <w:r w:rsidRPr="002B107D">
              <w:rPr>
                <w:rFonts w:ascii="Corbel" w:hAnsi="Corbel" w:cs="Times New Roman"/>
                <w:bCs/>
                <w:sz w:val="18"/>
                <w:szCs w:val="18"/>
              </w:rPr>
              <w:t>Ukupno dodana vrijednost</w:t>
            </w:r>
            <w:r w:rsidRPr="002B107D">
              <w:rPr>
                <w:rFonts w:ascii="Corbel" w:hAnsi="Corbel" w:cs="Times New Roman"/>
                <w:bCs/>
                <w:sz w:val="18"/>
                <w:szCs w:val="18"/>
              </w:rPr>
              <w:br/>
              <w:t>djelatnosti</w:t>
            </w:r>
          </w:p>
        </w:tc>
      </w:tr>
      <w:tr w:rsidR="0030030D" w:rsidRPr="002B107D" w:rsidTr="002B107D">
        <w:trPr>
          <w:trHeight w:val="300"/>
        </w:trPr>
        <w:tc>
          <w:tcPr>
            <w:tcW w:w="1812" w:type="dxa"/>
            <w:vMerge/>
          </w:tcPr>
          <w:p w:rsidR="00964E3D" w:rsidRPr="002B107D" w:rsidRDefault="00964E3D">
            <w:pPr>
              <w:rPr>
                <w:rFonts w:ascii="Corbel" w:hAnsi="Corbel" w:cs="Times New Roman"/>
                <w:sz w:val="18"/>
                <w:szCs w:val="18"/>
              </w:rPr>
            </w:pPr>
          </w:p>
        </w:tc>
        <w:tc>
          <w:tcPr>
            <w:tcW w:w="568" w:type="dxa"/>
            <w:vMerge/>
          </w:tcPr>
          <w:p w:rsidR="00964E3D" w:rsidRPr="002B107D" w:rsidRDefault="00964E3D">
            <w:pPr>
              <w:rPr>
                <w:rFonts w:ascii="Corbel" w:hAnsi="Corbel" w:cs="Times New Roman"/>
                <w:sz w:val="18"/>
                <w:szCs w:val="18"/>
              </w:rPr>
            </w:pPr>
          </w:p>
        </w:tc>
        <w:tc>
          <w:tcPr>
            <w:tcW w:w="723" w:type="dxa"/>
            <w:tcBorders>
              <w:top w:val="single" w:sz="12" w:space="0" w:color="auto"/>
              <w:right w:val="single" w:sz="12" w:space="0" w:color="auto"/>
            </w:tcBorders>
          </w:tcPr>
          <w:p w:rsidR="00964E3D" w:rsidRPr="002B107D" w:rsidRDefault="00964E3D" w:rsidP="00964E3D">
            <w:pPr>
              <w:rPr>
                <w:rFonts w:ascii="Corbel" w:hAnsi="Corbel" w:cs="Times New Roman"/>
                <w:sz w:val="16"/>
                <w:szCs w:val="18"/>
              </w:rPr>
            </w:pPr>
            <w:r w:rsidRPr="002B107D">
              <w:rPr>
                <w:rFonts w:ascii="Corbel" w:hAnsi="Corbel" w:cs="Times New Roman"/>
                <w:sz w:val="16"/>
                <w:szCs w:val="18"/>
              </w:rPr>
              <w:t>Ukupno</w:t>
            </w:r>
          </w:p>
        </w:tc>
        <w:tc>
          <w:tcPr>
            <w:tcW w:w="682" w:type="dxa"/>
            <w:tcBorders>
              <w:top w:val="single" w:sz="12" w:space="0" w:color="auto"/>
              <w:left w:val="single" w:sz="12" w:space="0" w:color="auto"/>
            </w:tcBorders>
          </w:tcPr>
          <w:p w:rsidR="00964E3D" w:rsidRPr="002B107D" w:rsidRDefault="00964E3D" w:rsidP="00964E3D">
            <w:pPr>
              <w:rPr>
                <w:rFonts w:ascii="Corbel" w:hAnsi="Corbel" w:cs="Times New Roman"/>
                <w:sz w:val="16"/>
                <w:szCs w:val="18"/>
              </w:rPr>
            </w:pPr>
            <w:proofErr w:type="spellStart"/>
            <w:r w:rsidRPr="002B107D">
              <w:rPr>
                <w:rFonts w:ascii="Corbel" w:hAnsi="Corbel" w:cs="Times New Roman"/>
                <w:sz w:val="16"/>
                <w:szCs w:val="18"/>
              </w:rPr>
              <w:t>Prerađ</w:t>
            </w:r>
            <w:proofErr w:type="spellEnd"/>
            <w:r w:rsidRPr="002B107D">
              <w:rPr>
                <w:rFonts w:ascii="Corbel" w:hAnsi="Corbel" w:cs="Times New Roman"/>
                <w:sz w:val="16"/>
                <w:szCs w:val="18"/>
              </w:rPr>
              <w:t>. Ind.</w:t>
            </w:r>
          </w:p>
        </w:tc>
        <w:tc>
          <w:tcPr>
            <w:tcW w:w="545" w:type="dxa"/>
            <w:vMerge/>
          </w:tcPr>
          <w:p w:rsidR="00964E3D" w:rsidRPr="002B107D" w:rsidRDefault="00964E3D">
            <w:pPr>
              <w:rPr>
                <w:rFonts w:ascii="Corbel" w:hAnsi="Corbel" w:cs="Times New Roman"/>
                <w:sz w:val="18"/>
                <w:szCs w:val="18"/>
              </w:rPr>
            </w:pPr>
          </w:p>
        </w:tc>
        <w:tc>
          <w:tcPr>
            <w:tcW w:w="545" w:type="dxa"/>
            <w:vMerge/>
          </w:tcPr>
          <w:p w:rsidR="00964E3D" w:rsidRPr="002B107D" w:rsidRDefault="00964E3D" w:rsidP="00964E3D">
            <w:pPr>
              <w:rPr>
                <w:rFonts w:ascii="Corbel" w:hAnsi="Corbel" w:cs="Times New Roman"/>
                <w:sz w:val="18"/>
                <w:szCs w:val="18"/>
              </w:rPr>
            </w:pPr>
          </w:p>
        </w:tc>
        <w:tc>
          <w:tcPr>
            <w:tcW w:w="545" w:type="dxa"/>
            <w:vMerge/>
          </w:tcPr>
          <w:p w:rsidR="00964E3D" w:rsidRPr="002B107D" w:rsidRDefault="00964E3D">
            <w:pPr>
              <w:rPr>
                <w:rFonts w:ascii="Corbel" w:hAnsi="Corbel" w:cs="Times New Roman"/>
                <w:sz w:val="18"/>
                <w:szCs w:val="18"/>
              </w:rPr>
            </w:pPr>
          </w:p>
        </w:tc>
        <w:tc>
          <w:tcPr>
            <w:tcW w:w="545" w:type="dxa"/>
            <w:vMerge/>
          </w:tcPr>
          <w:p w:rsidR="00964E3D" w:rsidRPr="002B107D" w:rsidRDefault="00964E3D">
            <w:pPr>
              <w:rPr>
                <w:rFonts w:ascii="Corbel" w:hAnsi="Corbel" w:cs="Times New Roman"/>
                <w:sz w:val="18"/>
                <w:szCs w:val="18"/>
              </w:rPr>
            </w:pPr>
          </w:p>
        </w:tc>
        <w:tc>
          <w:tcPr>
            <w:tcW w:w="545" w:type="dxa"/>
            <w:vMerge/>
          </w:tcPr>
          <w:p w:rsidR="00964E3D" w:rsidRPr="002B107D" w:rsidRDefault="00964E3D">
            <w:pPr>
              <w:rPr>
                <w:rFonts w:ascii="Corbel" w:hAnsi="Corbel" w:cs="Times New Roman"/>
                <w:sz w:val="18"/>
                <w:szCs w:val="18"/>
              </w:rPr>
            </w:pPr>
          </w:p>
        </w:tc>
        <w:tc>
          <w:tcPr>
            <w:tcW w:w="545" w:type="dxa"/>
            <w:vMerge/>
          </w:tcPr>
          <w:p w:rsidR="00964E3D" w:rsidRPr="002B107D" w:rsidRDefault="00964E3D">
            <w:pPr>
              <w:rPr>
                <w:rFonts w:ascii="Corbel" w:hAnsi="Corbel" w:cs="Times New Roman"/>
                <w:sz w:val="18"/>
                <w:szCs w:val="18"/>
              </w:rPr>
            </w:pPr>
          </w:p>
        </w:tc>
        <w:tc>
          <w:tcPr>
            <w:tcW w:w="545" w:type="dxa"/>
            <w:vMerge/>
          </w:tcPr>
          <w:p w:rsidR="00964E3D" w:rsidRPr="002B107D" w:rsidRDefault="00964E3D" w:rsidP="00964E3D">
            <w:pPr>
              <w:rPr>
                <w:rFonts w:ascii="Corbel" w:hAnsi="Corbel" w:cs="Times New Roman"/>
                <w:sz w:val="18"/>
                <w:szCs w:val="18"/>
              </w:rPr>
            </w:pPr>
          </w:p>
        </w:tc>
        <w:tc>
          <w:tcPr>
            <w:tcW w:w="545" w:type="dxa"/>
            <w:vMerge/>
          </w:tcPr>
          <w:p w:rsidR="00964E3D" w:rsidRPr="002B107D" w:rsidRDefault="00964E3D" w:rsidP="00964E3D">
            <w:pPr>
              <w:rPr>
                <w:rFonts w:ascii="Corbel" w:hAnsi="Corbel" w:cs="Times New Roman"/>
                <w:sz w:val="18"/>
                <w:szCs w:val="18"/>
              </w:rPr>
            </w:pPr>
          </w:p>
        </w:tc>
        <w:tc>
          <w:tcPr>
            <w:tcW w:w="1233" w:type="dxa"/>
            <w:vMerge/>
          </w:tcPr>
          <w:p w:rsidR="00964E3D" w:rsidRPr="002B107D" w:rsidRDefault="00964E3D">
            <w:pPr>
              <w:rPr>
                <w:rFonts w:ascii="Corbel" w:hAnsi="Corbel" w:cs="Times New Roman"/>
                <w:b/>
                <w:bCs/>
                <w:sz w:val="18"/>
                <w:szCs w:val="18"/>
              </w:rPr>
            </w:pPr>
          </w:p>
        </w:tc>
      </w:tr>
      <w:tr w:rsidR="0030030D" w:rsidRPr="002B107D" w:rsidTr="002B107D">
        <w:trPr>
          <w:trHeight w:val="311"/>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Republika Hrvatska</w:t>
            </w:r>
          </w:p>
        </w:tc>
        <w:tc>
          <w:tcPr>
            <w:tcW w:w="568" w:type="dxa"/>
            <w:noWrap/>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100</w:t>
            </w:r>
          </w:p>
        </w:tc>
        <w:tc>
          <w:tcPr>
            <w:tcW w:w="1233" w:type="dxa"/>
            <w:hideMark/>
          </w:tcPr>
          <w:p w:rsidR="00964E3D" w:rsidRPr="002B107D" w:rsidRDefault="00141CB7">
            <w:pPr>
              <w:rPr>
                <w:rFonts w:ascii="Corbel" w:hAnsi="Corbel" w:cs="Times New Roman"/>
                <w:b/>
                <w:bCs/>
                <w:sz w:val="18"/>
                <w:szCs w:val="18"/>
              </w:rPr>
            </w:pPr>
            <w:r w:rsidRPr="002B107D">
              <w:rPr>
                <w:rFonts w:ascii="Corbel" w:hAnsi="Corbel" w:cs="Times New Roman"/>
                <w:b/>
                <w:bCs/>
                <w:sz w:val="18"/>
                <w:szCs w:val="18"/>
              </w:rPr>
              <w:t>100</w:t>
            </w:r>
          </w:p>
        </w:tc>
      </w:tr>
      <w:tr w:rsidR="0030030D" w:rsidRPr="002B107D" w:rsidTr="002B107D">
        <w:trPr>
          <w:trHeight w:val="311"/>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Jadranska Hrvatska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18</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27,7</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27,5</w:t>
            </w:r>
          </w:p>
        </w:tc>
        <w:tc>
          <w:tcPr>
            <w:tcW w:w="545" w:type="dxa"/>
            <w:hideMark/>
          </w:tcPr>
          <w:p w:rsidR="00964E3D" w:rsidRPr="002B107D" w:rsidRDefault="00964E3D" w:rsidP="00964E3D">
            <w:pPr>
              <w:rPr>
                <w:rFonts w:ascii="Corbel" w:hAnsi="Corbel" w:cs="Times New Roman"/>
                <w:color w:val="FF0000"/>
                <w:sz w:val="18"/>
                <w:szCs w:val="18"/>
              </w:rPr>
            </w:pPr>
            <w:r w:rsidRPr="002B107D">
              <w:rPr>
                <w:rFonts w:ascii="Corbel" w:hAnsi="Corbel" w:cs="Times New Roman"/>
                <w:color w:val="FF0000"/>
                <w:sz w:val="18"/>
                <w:szCs w:val="18"/>
              </w:rPr>
              <w:t>40,8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color w:val="FF0000"/>
                <w:sz w:val="18"/>
                <w:szCs w:val="18"/>
              </w:rPr>
              <w:t>39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24,3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21,9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color w:val="FF0000"/>
                <w:sz w:val="18"/>
                <w:szCs w:val="18"/>
              </w:rPr>
              <w:t>42,3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28,2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29,8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35,5</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lang w:val="en-US"/>
              </w:rPr>
              <w:t>32</w:t>
            </w:r>
          </w:p>
        </w:tc>
      </w:tr>
      <w:tr w:rsidR="0030030D" w:rsidRPr="002B107D" w:rsidTr="002B107D">
        <w:trPr>
          <w:trHeight w:val="176"/>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Istarska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2,8</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7,4</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7,1</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8,4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6,2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5,9</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6,2</w:t>
            </w:r>
          </w:p>
        </w:tc>
      </w:tr>
      <w:tr w:rsidR="0030030D" w:rsidRPr="002B107D" w:rsidTr="002B107D">
        <w:trPr>
          <w:trHeight w:val="311"/>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Primorsko-goranska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lang w:val="en-US"/>
              </w:rPr>
              <w:t>2</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10,1</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8,3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10,1</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6,8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9,8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7,8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7,3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8,4</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8,4</w:t>
            </w:r>
          </w:p>
        </w:tc>
      </w:tr>
      <w:tr w:rsidR="0030030D" w:rsidRPr="002B107D" w:rsidTr="002B107D">
        <w:trPr>
          <w:trHeight w:val="176"/>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Ličko-senjska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0,4</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2,1</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0,6</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1,5</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0,9</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1</w:t>
            </w:r>
          </w:p>
        </w:tc>
      </w:tr>
      <w:tr w:rsidR="0030030D" w:rsidRPr="002B107D" w:rsidTr="002B107D">
        <w:trPr>
          <w:trHeight w:val="176"/>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Zadarska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color w:val="FF0000"/>
                <w:sz w:val="18"/>
                <w:szCs w:val="18"/>
              </w:rPr>
              <w:t>3,6</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1,4</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w:t>
            </w:r>
            <w:proofErr w:type="spellStart"/>
            <w:r w:rsidRPr="002B107D">
              <w:rPr>
                <w:rFonts w:ascii="Corbel" w:hAnsi="Corbel" w:cs="Times New Roman"/>
                <w:sz w:val="18"/>
                <w:szCs w:val="18"/>
              </w:rPr>
              <w:t>1</w:t>
            </w:r>
            <w:proofErr w:type="spellEnd"/>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4,6</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6,1</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3,6</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3,7</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3,</w:t>
            </w:r>
            <w:proofErr w:type="spellStart"/>
            <w:r w:rsidRPr="002B107D">
              <w:rPr>
                <w:rFonts w:ascii="Corbel" w:hAnsi="Corbel" w:cs="Times New Roman"/>
                <w:b/>
                <w:bCs/>
                <w:sz w:val="18"/>
                <w:szCs w:val="18"/>
              </w:rPr>
              <w:t>3</w:t>
            </w:r>
            <w:proofErr w:type="spellEnd"/>
          </w:p>
        </w:tc>
      </w:tr>
      <w:tr w:rsidR="0030030D" w:rsidRPr="002B107D" w:rsidTr="002B107D">
        <w:trPr>
          <w:trHeight w:val="176"/>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Šibensko-kninska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1,2</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1,6</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1,5</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1,3</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3,7</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3,1</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1,8</w:t>
            </w:r>
          </w:p>
        </w:tc>
      </w:tr>
      <w:tr w:rsidR="0030030D" w:rsidRPr="002B107D" w:rsidTr="002B107D">
        <w:trPr>
          <w:trHeight w:val="311"/>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Splitsko-dalmatinska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4,2</w:t>
            </w:r>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5,9</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5,9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11,2</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9,7</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7,4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6,9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11,8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7,9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9,4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10,9</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8,6</w:t>
            </w:r>
          </w:p>
        </w:tc>
      </w:tr>
      <w:tr w:rsidR="0030030D" w:rsidRPr="002B107D" w:rsidTr="002B107D">
        <w:trPr>
          <w:trHeight w:val="311"/>
        </w:trPr>
        <w:tc>
          <w:tcPr>
            <w:tcW w:w="1812" w:type="dxa"/>
            <w:hideMark/>
          </w:tcPr>
          <w:p w:rsidR="00964E3D" w:rsidRPr="002B107D" w:rsidRDefault="00964E3D">
            <w:pPr>
              <w:rPr>
                <w:rFonts w:ascii="Corbel" w:hAnsi="Corbel" w:cs="Times New Roman"/>
                <w:sz w:val="18"/>
                <w:szCs w:val="18"/>
              </w:rPr>
            </w:pPr>
            <w:r w:rsidRPr="002B107D">
              <w:rPr>
                <w:rFonts w:ascii="Corbel" w:hAnsi="Corbel" w:cs="Times New Roman"/>
                <w:sz w:val="18"/>
                <w:szCs w:val="18"/>
              </w:rPr>
              <w:t>Dubrovačko-neretvanska</w:t>
            </w:r>
          </w:p>
        </w:tc>
        <w:tc>
          <w:tcPr>
            <w:tcW w:w="568"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w:t>
            </w:r>
            <w:proofErr w:type="spellStart"/>
            <w:r w:rsidRPr="002B107D">
              <w:rPr>
                <w:rFonts w:ascii="Corbel" w:hAnsi="Corbel" w:cs="Times New Roman"/>
                <w:sz w:val="18"/>
                <w:szCs w:val="18"/>
              </w:rPr>
              <w:t>2</w:t>
            </w:r>
            <w:proofErr w:type="spellEnd"/>
          </w:p>
        </w:tc>
        <w:tc>
          <w:tcPr>
            <w:tcW w:w="723"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0,9</w:t>
            </w:r>
          </w:p>
        </w:tc>
        <w:tc>
          <w:tcPr>
            <w:tcW w:w="682"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0,6</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4,6</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4,6</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2,4</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1,8</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3,</w:t>
            </w:r>
            <w:proofErr w:type="spellStart"/>
            <w:r w:rsidRPr="002B107D">
              <w:rPr>
                <w:rFonts w:ascii="Corbel" w:hAnsi="Corbel" w:cs="Times New Roman"/>
                <w:sz w:val="18"/>
                <w:szCs w:val="18"/>
              </w:rPr>
              <w:t>3</w:t>
            </w:r>
            <w:proofErr w:type="spellEnd"/>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2,9</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2,7</w:t>
            </w:r>
          </w:p>
        </w:tc>
        <w:tc>
          <w:tcPr>
            <w:tcW w:w="545" w:type="dxa"/>
            <w:hideMark/>
          </w:tcPr>
          <w:p w:rsidR="00964E3D" w:rsidRPr="002B107D" w:rsidRDefault="00964E3D" w:rsidP="00964E3D">
            <w:pPr>
              <w:rPr>
                <w:rFonts w:ascii="Corbel" w:hAnsi="Corbel" w:cs="Times New Roman"/>
                <w:sz w:val="18"/>
                <w:szCs w:val="18"/>
              </w:rPr>
            </w:pPr>
            <w:r w:rsidRPr="002B107D">
              <w:rPr>
                <w:rFonts w:ascii="Corbel" w:hAnsi="Corbel" w:cs="Times New Roman"/>
                <w:sz w:val="18"/>
                <w:szCs w:val="18"/>
              </w:rPr>
              <w:t>2,6</w:t>
            </w:r>
          </w:p>
        </w:tc>
        <w:tc>
          <w:tcPr>
            <w:tcW w:w="1233" w:type="dxa"/>
            <w:hideMark/>
          </w:tcPr>
          <w:p w:rsidR="00964E3D" w:rsidRPr="002B107D" w:rsidRDefault="00964E3D" w:rsidP="00964E3D">
            <w:pPr>
              <w:rPr>
                <w:rFonts w:ascii="Corbel" w:hAnsi="Corbel" w:cs="Times New Roman"/>
                <w:b/>
                <w:bCs/>
                <w:sz w:val="18"/>
                <w:szCs w:val="18"/>
              </w:rPr>
            </w:pPr>
            <w:r w:rsidRPr="002B107D">
              <w:rPr>
                <w:rFonts w:ascii="Corbel" w:hAnsi="Corbel" w:cs="Times New Roman"/>
                <w:b/>
                <w:bCs/>
                <w:sz w:val="18"/>
                <w:szCs w:val="18"/>
              </w:rPr>
              <w:t>2,8</w:t>
            </w:r>
          </w:p>
        </w:tc>
      </w:tr>
    </w:tbl>
    <w:p w:rsidR="00AB6EB3" w:rsidRDefault="00BB0E12" w:rsidP="002B107D">
      <w:pPr>
        <w:spacing w:after="0" w:line="240" w:lineRule="auto"/>
        <w:rPr>
          <w:rFonts w:ascii="Times New Roman" w:hAnsi="Times New Roman" w:cs="Times New Roman"/>
          <w:sz w:val="20"/>
        </w:rPr>
      </w:pPr>
      <w:r w:rsidRPr="00341212">
        <w:rPr>
          <w:rFonts w:ascii="Times New Roman" w:hAnsi="Times New Roman" w:cs="Times New Roman"/>
          <w:sz w:val="20"/>
        </w:rPr>
        <w:t>Izvor: DZS, Priopćenja i statistička izvješća, po godinama, obrada ZADRA</w:t>
      </w:r>
    </w:p>
    <w:p w:rsidR="002B107D" w:rsidRDefault="002B107D" w:rsidP="002B107D">
      <w:pPr>
        <w:spacing w:after="0" w:line="240" w:lineRule="auto"/>
        <w:rPr>
          <w:rFonts w:ascii="Times New Roman" w:hAnsi="Times New Roman" w:cs="Times New Roman"/>
          <w:sz w:val="20"/>
        </w:rPr>
      </w:pPr>
      <w:r>
        <w:rPr>
          <w:rFonts w:ascii="Times New Roman" w:hAnsi="Times New Roman" w:cs="Times New Roman"/>
          <w:sz w:val="20"/>
        </w:rPr>
        <w:t>*Kazalo je na kraju poglavlja</w:t>
      </w:r>
    </w:p>
    <w:p w:rsidR="002B107D" w:rsidRPr="00787EC2" w:rsidRDefault="002B107D">
      <w:pPr>
        <w:rPr>
          <w:rFonts w:ascii="Times New Roman" w:hAnsi="Times New Roman" w:cs="Times New Roman"/>
          <w:sz w:val="20"/>
          <w:highlight w:val="yellow"/>
        </w:rPr>
      </w:pPr>
    </w:p>
    <w:p w:rsidR="003F2909" w:rsidRPr="00341212" w:rsidRDefault="003F2909" w:rsidP="00F839C4">
      <w:pPr>
        <w:jc w:val="both"/>
        <w:rPr>
          <w:rFonts w:ascii="Corbel" w:hAnsi="Corbel" w:cs="Times New Roman"/>
        </w:rPr>
      </w:pPr>
      <w:r w:rsidRPr="00341212">
        <w:rPr>
          <w:rFonts w:ascii="Corbel" w:hAnsi="Corbel" w:cs="Times New Roman"/>
        </w:rPr>
        <w:lastRenderedPageBreak/>
        <w:t xml:space="preserve">Usporedba </w:t>
      </w:r>
      <w:r w:rsidR="00860746" w:rsidRPr="00341212">
        <w:rPr>
          <w:rFonts w:ascii="Corbel" w:hAnsi="Corbel" w:cs="Times New Roman"/>
        </w:rPr>
        <w:t>udjela</w:t>
      </w:r>
      <w:r w:rsidRPr="00341212">
        <w:rPr>
          <w:rFonts w:ascii="Corbel" w:hAnsi="Corbel" w:cs="Times New Roman"/>
        </w:rPr>
        <w:t xml:space="preserve"> </w:t>
      </w:r>
      <w:r w:rsidR="00AB6EB3" w:rsidRPr="00341212">
        <w:rPr>
          <w:rFonts w:ascii="Corbel" w:hAnsi="Corbel" w:cs="Times New Roman"/>
        </w:rPr>
        <w:t>BDV</w:t>
      </w:r>
      <w:r w:rsidRPr="00341212">
        <w:rPr>
          <w:rFonts w:ascii="Corbel" w:hAnsi="Corbel" w:cs="Times New Roman"/>
        </w:rPr>
        <w:t>-</w:t>
      </w:r>
      <w:r w:rsidR="00AB6EB3" w:rsidRPr="00341212">
        <w:rPr>
          <w:rFonts w:ascii="Corbel" w:hAnsi="Corbel" w:cs="Times New Roman"/>
        </w:rPr>
        <w:t>a po djelatnostima u ukupnom BDV</w:t>
      </w:r>
      <w:r w:rsidRPr="00341212">
        <w:rPr>
          <w:rFonts w:ascii="Corbel" w:hAnsi="Corbel" w:cs="Times New Roman"/>
        </w:rPr>
        <w:t xml:space="preserve">-u RH nam ne govori dovoljno o specijalizaciji samih županija, jer gospodarski jače županije </w:t>
      </w:r>
      <w:r w:rsidR="00AB6EB3" w:rsidRPr="00341212">
        <w:rPr>
          <w:rFonts w:ascii="Corbel" w:hAnsi="Corbel" w:cs="Times New Roman"/>
        </w:rPr>
        <w:t>imaju veći udio u BDV</w:t>
      </w:r>
      <w:r w:rsidRPr="00341212">
        <w:rPr>
          <w:rFonts w:ascii="Corbel" w:hAnsi="Corbel" w:cs="Times New Roman"/>
        </w:rPr>
        <w:t>-u od ostalih županija, pa se jasno ne može zaključiti u kojim djelatnostima se neka županija specijalizirala</w:t>
      </w:r>
      <w:r w:rsidR="00860746" w:rsidRPr="00341212">
        <w:rPr>
          <w:rFonts w:ascii="Corbel" w:hAnsi="Corbel" w:cs="Times New Roman"/>
        </w:rPr>
        <w:t xml:space="preserve"> više od drugih</w:t>
      </w:r>
      <w:r w:rsidR="00AB6EB3" w:rsidRPr="00341212">
        <w:rPr>
          <w:rFonts w:ascii="Corbel" w:hAnsi="Corbel" w:cs="Times New Roman"/>
        </w:rPr>
        <w:t xml:space="preserve"> (zadnja kolona tablice pokazuje koliko koja županija ima udjela u ukupnoj dodanoj vrijednosti)</w:t>
      </w:r>
      <w:r w:rsidRPr="00341212">
        <w:rPr>
          <w:rFonts w:ascii="Corbel" w:hAnsi="Corbel" w:cs="Times New Roman"/>
        </w:rPr>
        <w:t>.</w:t>
      </w:r>
      <w:r w:rsidR="00AB6EB3" w:rsidRPr="00341212">
        <w:rPr>
          <w:rFonts w:ascii="Corbel" w:hAnsi="Corbel" w:cs="Times New Roman"/>
        </w:rPr>
        <w:t xml:space="preserve"> </w:t>
      </w:r>
      <w:r w:rsidR="00860746" w:rsidRPr="00341212">
        <w:rPr>
          <w:rFonts w:ascii="Corbel" w:hAnsi="Corbel" w:cs="Times New Roman"/>
        </w:rPr>
        <w:t xml:space="preserve"> </w:t>
      </w:r>
      <w:r w:rsidRPr="00341212">
        <w:rPr>
          <w:rFonts w:ascii="Corbel" w:hAnsi="Corbel" w:cs="Times New Roman"/>
        </w:rPr>
        <w:t xml:space="preserve">Više o tome će biti </w:t>
      </w:r>
      <w:r w:rsidR="00860746" w:rsidRPr="00341212">
        <w:rPr>
          <w:rFonts w:ascii="Corbel" w:hAnsi="Corbel" w:cs="Times New Roman"/>
        </w:rPr>
        <w:t>objašnjeno u sljedećim poglavljima</w:t>
      </w:r>
      <w:r w:rsidR="00787EC2" w:rsidRPr="00341212">
        <w:rPr>
          <w:rFonts w:ascii="Corbel" w:hAnsi="Corbel" w:cs="Times New Roman"/>
        </w:rPr>
        <w:t>.</w:t>
      </w:r>
    </w:p>
    <w:p w:rsidR="005E1A58" w:rsidRPr="009F4C9F" w:rsidRDefault="004C6931" w:rsidP="00B37C59">
      <w:pPr>
        <w:pStyle w:val="Naslov2"/>
        <w:spacing w:after="120"/>
      </w:pPr>
      <w:bookmarkStart w:id="5" w:name="_Toc351539729"/>
      <w:r w:rsidRPr="009F4C9F">
        <w:t xml:space="preserve">1.1 </w:t>
      </w:r>
      <w:r w:rsidR="005E1A58" w:rsidRPr="009F4C9F">
        <w:t>Tržište rada u gradu Zadru</w:t>
      </w:r>
      <w:bookmarkEnd w:id="5"/>
      <w:r w:rsidR="005E1A58" w:rsidRPr="009F4C9F">
        <w:t xml:space="preserve"> </w:t>
      </w:r>
    </w:p>
    <w:p w:rsidR="00F839C4" w:rsidRPr="00B56C85" w:rsidRDefault="009F4C9F" w:rsidP="00B37C59">
      <w:pPr>
        <w:pStyle w:val="Naslov3"/>
      </w:pPr>
      <w:bookmarkStart w:id="6" w:name="_Toc351539730"/>
      <w:r>
        <w:t xml:space="preserve">1.1.1 </w:t>
      </w:r>
      <w:r w:rsidR="005E1A58" w:rsidRPr="00B56C85">
        <w:t>Zaposlenost</w:t>
      </w:r>
      <w:bookmarkEnd w:id="6"/>
    </w:p>
    <w:p w:rsidR="00D17B3C" w:rsidRPr="00B56C85" w:rsidRDefault="00F4144F" w:rsidP="00AA3CB0">
      <w:pPr>
        <w:spacing w:line="240" w:lineRule="auto"/>
        <w:jc w:val="both"/>
        <w:rPr>
          <w:rFonts w:ascii="Corbel" w:hAnsi="Corbel" w:cs="Times New Roman"/>
        </w:rPr>
      </w:pPr>
      <w:r w:rsidRPr="00B56C85">
        <w:rPr>
          <w:rFonts w:ascii="Corbel" w:hAnsi="Corbel" w:cs="Times New Roman"/>
        </w:rPr>
        <w:t>Glavni izvor radne snage predstavlja muško stanovništvo od 15 do 64 godine i žene od 15 do 59 godina, a nazivamo ga radni kontingent ili radno sposobno stanovništvo. Osobe koje rade ili aktivno traže zaposlenje predstavljaju najvažniju kategoriju tržišta rada, a to je radna snaga ili ekonomski aktivno stanovništvo.</w:t>
      </w:r>
      <w:r w:rsidR="00D17B3C" w:rsidRPr="00B56C85">
        <w:rPr>
          <w:rFonts w:ascii="Corbel" w:hAnsi="Corbel" w:cs="Times New Roman"/>
        </w:rPr>
        <w:t xml:space="preserve"> </w:t>
      </w:r>
    </w:p>
    <w:p w:rsidR="00D80F88" w:rsidRPr="00B56C85" w:rsidRDefault="00D80F88" w:rsidP="00AA3CB0">
      <w:pPr>
        <w:pBdr>
          <w:top w:val="single" w:sz="4" w:space="1" w:color="auto"/>
          <w:left w:val="single" w:sz="4" w:space="4" w:color="auto"/>
          <w:bottom w:val="single" w:sz="4" w:space="1" w:color="auto"/>
          <w:right w:val="single" w:sz="4" w:space="4" w:color="auto"/>
        </w:pBdr>
        <w:spacing w:line="240" w:lineRule="auto"/>
        <w:jc w:val="both"/>
        <w:rPr>
          <w:rFonts w:ascii="Corbel" w:hAnsi="Corbel" w:cs="Times New Roman"/>
        </w:rPr>
      </w:pPr>
      <w:r w:rsidRPr="00B56C85">
        <w:rPr>
          <w:rFonts w:ascii="Corbel" w:hAnsi="Corbel" w:cs="Times New Roman"/>
        </w:rPr>
        <w:t>Kako na razni gradova RH ne postoje dostupni podaci o broju zaposlenih, kod analize zaposlenosti grada Zadra i ostalih gradova Jadranske Hrvatske korištene su statističke informacije Hrvatskog zavoda</w:t>
      </w:r>
      <w:r w:rsidR="00366ACD" w:rsidRPr="00B56C85">
        <w:rPr>
          <w:rFonts w:ascii="Corbel" w:hAnsi="Corbel" w:cs="Times New Roman"/>
        </w:rPr>
        <w:t xml:space="preserve"> za</w:t>
      </w:r>
      <w:r w:rsidRPr="00B56C85">
        <w:rPr>
          <w:rFonts w:ascii="Corbel" w:hAnsi="Corbel" w:cs="Times New Roman"/>
        </w:rPr>
        <w:t xml:space="preserve"> mirovinsko </w:t>
      </w:r>
      <w:r w:rsidRPr="00341212">
        <w:rPr>
          <w:rFonts w:ascii="Corbel" w:hAnsi="Corbel" w:cs="Times New Roman"/>
        </w:rPr>
        <w:t xml:space="preserve">osiguranje </w:t>
      </w:r>
      <w:sdt>
        <w:sdtPr>
          <w:rPr>
            <w:rFonts w:ascii="Corbel" w:hAnsi="Corbel" w:cs="Times New Roman"/>
          </w:rPr>
          <w:id w:val="-1135489646"/>
          <w:citation/>
        </w:sdtPr>
        <w:sdtContent>
          <w:r w:rsidRPr="00341212">
            <w:rPr>
              <w:rFonts w:ascii="Corbel" w:hAnsi="Corbel" w:cs="Times New Roman"/>
            </w:rPr>
            <w:fldChar w:fldCharType="begin"/>
          </w:r>
          <w:r w:rsidRPr="00341212">
            <w:rPr>
              <w:rFonts w:ascii="Corbel" w:hAnsi="Corbel" w:cs="Times New Roman"/>
            </w:rPr>
            <w:instrText xml:space="preserve"> CITATION Hrvna \l 1050 </w:instrText>
          </w:r>
          <w:r w:rsidRPr="00341212">
            <w:rPr>
              <w:rFonts w:ascii="Corbel" w:hAnsi="Corbel" w:cs="Times New Roman"/>
            </w:rPr>
            <w:fldChar w:fldCharType="separate"/>
          </w:r>
          <w:r w:rsidRPr="00341212">
            <w:rPr>
              <w:rFonts w:ascii="Corbel" w:hAnsi="Corbel" w:cs="Times New Roman"/>
              <w:noProof/>
            </w:rPr>
            <w:t xml:space="preserve"> (Hrvatski zavod za mirovinsko osiguranje, više godina)</w:t>
          </w:r>
          <w:r w:rsidRPr="00341212">
            <w:rPr>
              <w:rFonts w:ascii="Corbel" w:hAnsi="Corbel" w:cs="Times New Roman"/>
            </w:rPr>
            <w:fldChar w:fldCharType="end"/>
          </w:r>
        </w:sdtContent>
      </w:sdt>
      <w:r w:rsidRPr="00341212">
        <w:rPr>
          <w:rFonts w:ascii="Corbel" w:hAnsi="Corbel" w:cs="Times New Roman"/>
        </w:rPr>
        <w:t>. Podaci HZMO-a su jedini potpuni i relevantni podaci za procjenjivanje broja zaposlenih za podru</w:t>
      </w:r>
      <w:r w:rsidR="0038130B" w:rsidRPr="00341212">
        <w:rPr>
          <w:rFonts w:ascii="Corbel" w:hAnsi="Corbel" w:cs="Times New Roman"/>
        </w:rPr>
        <w:t>čje gradova u RH jer</w:t>
      </w:r>
      <w:r w:rsidR="00366ACD" w:rsidRPr="00341212">
        <w:rPr>
          <w:rFonts w:ascii="Corbel" w:hAnsi="Corbel" w:cs="Times New Roman"/>
        </w:rPr>
        <w:t xml:space="preserve"> jedini</w:t>
      </w:r>
      <w:r w:rsidR="0038130B" w:rsidRPr="00341212">
        <w:rPr>
          <w:rFonts w:ascii="Corbel" w:hAnsi="Corbel" w:cs="Times New Roman"/>
        </w:rPr>
        <w:t xml:space="preserve"> objedinjuju</w:t>
      </w:r>
      <w:r w:rsidRPr="00341212">
        <w:rPr>
          <w:rFonts w:ascii="Corbel" w:hAnsi="Corbel" w:cs="Times New Roman"/>
        </w:rPr>
        <w:t xml:space="preserve"> podatke zaposlen</w:t>
      </w:r>
      <w:r w:rsidR="0038130B" w:rsidRPr="00341212">
        <w:rPr>
          <w:rFonts w:ascii="Corbel" w:hAnsi="Corbel" w:cs="Times New Roman"/>
        </w:rPr>
        <w:t xml:space="preserve">ih kod pravnih osoba, obrta, </w:t>
      </w:r>
      <w:r w:rsidRPr="00341212">
        <w:rPr>
          <w:rFonts w:ascii="Corbel" w:hAnsi="Corbel" w:cs="Times New Roman"/>
        </w:rPr>
        <w:t>fizičkih osoba,</w:t>
      </w:r>
      <w:r w:rsidR="0038130B" w:rsidRPr="00341212">
        <w:rPr>
          <w:rFonts w:ascii="Corbel" w:hAnsi="Corbel" w:cs="Times New Roman"/>
        </w:rPr>
        <w:t xml:space="preserve"> poljoprivrednike i samostalne profesionalne djelatnosti, tj. </w:t>
      </w:r>
      <w:r w:rsidRPr="00341212">
        <w:rPr>
          <w:rFonts w:ascii="Corbel" w:hAnsi="Corbel" w:cs="Times New Roman"/>
        </w:rPr>
        <w:t>svih onih zaposlenika koji su osiguranici HZMO-a</w:t>
      </w:r>
      <w:r w:rsidR="0038130B" w:rsidRPr="00341212">
        <w:rPr>
          <w:rFonts w:ascii="Corbel" w:hAnsi="Corbel" w:cs="Times New Roman"/>
        </w:rPr>
        <w:t>.</w:t>
      </w:r>
      <w:r w:rsidR="007F02CC" w:rsidRPr="00341212">
        <w:rPr>
          <w:rFonts w:ascii="Corbel" w:hAnsi="Corbel" w:cs="Times New Roman"/>
        </w:rPr>
        <w:t xml:space="preserve"> Usporedba</w:t>
      </w:r>
      <w:r w:rsidR="003E405D" w:rsidRPr="00341212">
        <w:rPr>
          <w:rFonts w:ascii="Corbel" w:hAnsi="Corbel" w:cs="Times New Roman"/>
        </w:rPr>
        <w:t xml:space="preserve"> podataka HZMO-a i DZS-a o zaposlenosti za razinu RH </w:t>
      </w:r>
      <w:r w:rsidR="007F02CC" w:rsidRPr="00341212">
        <w:rPr>
          <w:rFonts w:ascii="Corbel" w:hAnsi="Corbel" w:cs="Times New Roman"/>
        </w:rPr>
        <w:t>pokazuje</w:t>
      </w:r>
      <w:r w:rsidR="003E405D" w:rsidRPr="00341212">
        <w:rPr>
          <w:rFonts w:ascii="Corbel" w:hAnsi="Corbel" w:cs="Times New Roman"/>
        </w:rPr>
        <w:t xml:space="preserve"> sličnosti u dinamici broja stanovnika te u broju zaposlenika</w:t>
      </w:r>
      <w:r w:rsidR="00366ACD" w:rsidRPr="00341212">
        <w:rPr>
          <w:rFonts w:ascii="Corbel" w:hAnsi="Corbel" w:cs="Times New Roman"/>
        </w:rPr>
        <w:t>, iako su generalno podaci DZS-a nešto</w:t>
      </w:r>
      <w:r w:rsidR="00366ACD" w:rsidRPr="00B56C85">
        <w:rPr>
          <w:rFonts w:ascii="Corbel" w:hAnsi="Corbel" w:cs="Times New Roman"/>
        </w:rPr>
        <w:t xml:space="preserve"> niži od podataka HZMO-a. Svi o</w:t>
      </w:r>
      <w:r w:rsidRPr="00B56C85">
        <w:rPr>
          <w:rFonts w:ascii="Corbel" w:hAnsi="Corbel" w:cs="Times New Roman"/>
        </w:rPr>
        <w:t>stali podaci za razinu RH i podaci o nezaposlenosti su korišteni od DZS-a i HZZ-a</w:t>
      </w:r>
      <w:r w:rsidR="003E405D" w:rsidRPr="00B56C85">
        <w:rPr>
          <w:rFonts w:ascii="Corbel" w:hAnsi="Corbel" w:cs="Times New Roman"/>
        </w:rPr>
        <w:t>.</w:t>
      </w:r>
    </w:p>
    <w:p w:rsidR="004A2F24" w:rsidRPr="00B56C85" w:rsidRDefault="00F03757" w:rsidP="00AA3CB0">
      <w:pPr>
        <w:spacing w:line="240" w:lineRule="auto"/>
        <w:jc w:val="both"/>
        <w:rPr>
          <w:rFonts w:ascii="Corbel" w:hAnsi="Corbel" w:cs="Times New Roman"/>
        </w:rPr>
      </w:pPr>
      <w:r w:rsidRPr="00B56C85">
        <w:rPr>
          <w:rFonts w:ascii="Corbel" w:hAnsi="Corbel" w:cs="Times New Roman"/>
        </w:rPr>
        <w:t xml:space="preserve">Zaposlenost je jedan od najvažnijih indikatora gospodarske dinamike koji je u snažnom međuodnosu sa demografskim kretanjima. </w:t>
      </w:r>
      <w:r w:rsidR="004A2F24" w:rsidRPr="00B56C85">
        <w:rPr>
          <w:rFonts w:ascii="Corbel" w:hAnsi="Corbel" w:cs="Times New Roman"/>
        </w:rPr>
        <w:t xml:space="preserve">Podaci o ukupnom broju zaposlenih </w:t>
      </w:r>
      <w:r w:rsidR="004A2F24" w:rsidRPr="00B56C85">
        <w:rPr>
          <w:rFonts w:ascii="Corbel" w:hAnsi="Corbel" w:cs="Times New Roman"/>
          <w:b/>
        </w:rPr>
        <w:t>za RH</w:t>
      </w:r>
      <w:r w:rsidR="004A2F24" w:rsidRPr="00B56C85">
        <w:rPr>
          <w:rFonts w:ascii="Corbel" w:hAnsi="Corbel" w:cs="Times New Roman"/>
        </w:rPr>
        <w:t xml:space="preserve"> </w:t>
      </w:r>
      <w:r w:rsidR="004A2F24" w:rsidRPr="00B56C85">
        <w:rPr>
          <w:rFonts w:ascii="Corbel" w:hAnsi="Corbel" w:cs="Times New Roman"/>
          <w:b/>
        </w:rPr>
        <w:t>pokazuju</w:t>
      </w:r>
      <w:r w:rsidR="00103BB9" w:rsidRPr="00B56C85">
        <w:rPr>
          <w:rFonts w:ascii="Corbel" w:hAnsi="Corbel" w:cs="Times New Roman"/>
          <w:b/>
        </w:rPr>
        <w:t xml:space="preserve"> kontinuirani rast</w:t>
      </w:r>
      <w:r w:rsidR="004A2F24" w:rsidRPr="00B56C85">
        <w:rPr>
          <w:rFonts w:ascii="Corbel" w:hAnsi="Corbel" w:cs="Times New Roman"/>
          <w:b/>
        </w:rPr>
        <w:t xml:space="preserve"> od 2001. godine do 2008. godine nakon čega slijedi</w:t>
      </w:r>
      <w:r w:rsidRPr="00B56C85">
        <w:rPr>
          <w:rFonts w:ascii="Corbel" w:hAnsi="Corbel" w:cs="Times New Roman"/>
          <w:b/>
        </w:rPr>
        <w:t xml:space="preserve"> recesijsko razdoblje</w:t>
      </w:r>
      <w:r w:rsidRPr="00B56C85">
        <w:rPr>
          <w:rFonts w:ascii="Corbel" w:hAnsi="Corbel" w:cs="Times New Roman"/>
        </w:rPr>
        <w:t xml:space="preserve"> i</w:t>
      </w:r>
      <w:r w:rsidR="004A2F24" w:rsidRPr="00B56C85">
        <w:rPr>
          <w:rFonts w:ascii="Corbel" w:hAnsi="Corbel" w:cs="Times New Roman"/>
        </w:rPr>
        <w:t xml:space="preserve"> pad zaposlenost</w:t>
      </w:r>
      <w:r w:rsidR="00C8616D" w:rsidRPr="00B56C85">
        <w:rPr>
          <w:rFonts w:ascii="Corbel" w:hAnsi="Corbel" w:cs="Times New Roman"/>
        </w:rPr>
        <w:t>i, baš kao što je slučaj i sa BDP-om</w:t>
      </w:r>
      <w:r w:rsidR="004A2F24" w:rsidRPr="00B56C85">
        <w:rPr>
          <w:rFonts w:ascii="Corbel" w:hAnsi="Corbel" w:cs="Times New Roman"/>
        </w:rPr>
        <w:t>.</w:t>
      </w:r>
      <w:r w:rsidR="00C8616D" w:rsidRPr="00B56C85">
        <w:rPr>
          <w:rFonts w:ascii="Corbel" w:hAnsi="Corbel" w:cs="Times New Roman"/>
        </w:rPr>
        <w:t xml:space="preserve"> Broj zaposlenih u RH je do 2008. godine porastao za </w:t>
      </w:r>
      <w:r w:rsidR="009A3CE8" w:rsidRPr="00B56C85">
        <w:rPr>
          <w:rFonts w:ascii="Corbel" w:hAnsi="Corbel" w:cs="Times New Roman"/>
        </w:rPr>
        <w:t>19</w:t>
      </w:r>
      <w:r w:rsidR="00C8616D" w:rsidRPr="00B56C85">
        <w:rPr>
          <w:rFonts w:ascii="Corbel" w:hAnsi="Corbel" w:cs="Times New Roman"/>
        </w:rPr>
        <w:t>% u odnosu na 2001. god</w:t>
      </w:r>
      <w:r w:rsidR="009A3CE8" w:rsidRPr="00B56C85">
        <w:rPr>
          <w:rFonts w:ascii="Corbel" w:hAnsi="Corbel" w:cs="Times New Roman"/>
        </w:rPr>
        <w:t>inu, dok nakon toga od 2008. do 2011. slijedi</w:t>
      </w:r>
      <w:r w:rsidRPr="00B56C85">
        <w:rPr>
          <w:rFonts w:ascii="Corbel" w:hAnsi="Corbel" w:cs="Times New Roman"/>
        </w:rPr>
        <w:t xml:space="preserve"> oštar</w:t>
      </w:r>
      <w:r w:rsidR="009A3CE8" w:rsidRPr="00B56C85">
        <w:rPr>
          <w:rFonts w:ascii="Corbel" w:hAnsi="Corbel" w:cs="Times New Roman"/>
        </w:rPr>
        <w:t xml:space="preserve"> pad broja zaposlenih za 9%, te iznosi 1.380.294 zaposlenih</w:t>
      </w:r>
      <w:r w:rsidRPr="00B56C85">
        <w:rPr>
          <w:rFonts w:ascii="Corbel" w:hAnsi="Corbel" w:cs="Times New Roman"/>
        </w:rPr>
        <w:t xml:space="preserve"> u 2011</w:t>
      </w:r>
      <w:r w:rsidR="009A3CE8" w:rsidRPr="00B56C85">
        <w:rPr>
          <w:rFonts w:ascii="Corbel" w:hAnsi="Corbel" w:cs="Times New Roman"/>
        </w:rPr>
        <w:t>.</w:t>
      </w:r>
      <w:r w:rsidR="00DD2323" w:rsidRPr="00B56C85">
        <w:rPr>
          <w:rFonts w:ascii="Corbel" w:hAnsi="Corbel" w:cs="Times New Roman"/>
        </w:rPr>
        <w:t xml:space="preserve"> godini.</w:t>
      </w:r>
      <w:r w:rsidR="0062061D" w:rsidRPr="00B56C85">
        <w:rPr>
          <w:rFonts w:ascii="Corbel" w:hAnsi="Corbel" w:cs="Times New Roman"/>
        </w:rPr>
        <w:t xml:space="preserve"> Od ukupnog broja zaposlenih u RH, u gradu Zadru je bilo zaposleno </w:t>
      </w:r>
      <w:r w:rsidR="00CE062A" w:rsidRPr="00B56C85">
        <w:rPr>
          <w:rFonts w:ascii="Corbel" w:hAnsi="Corbel" w:cs="Times New Roman"/>
        </w:rPr>
        <w:t xml:space="preserve">33.579 </w:t>
      </w:r>
      <w:r w:rsidR="0062061D" w:rsidRPr="00B56C85">
        <w:rPr>
          <w:rFonts w:ascii="Corbel" w:hAnsi="Corbel" w:cs="Times New Roman"/>
        </w:rPr>
        <w:t>(</w:t>
      </w:r>
      <w:r w:rsidR="00CE062A" w:rsidRPr="00B56C85">
        <w:rPr>
          <w:rFonts w:ascii="Corbel" w:hAnsi="Corbel" w:cs="Times New Roman"/>
        </w:rPr>
        <w:t>2,4</w:t>
      </w:r>
      <w:r w:rsidR="0062061D" w:rsidRPr="00B56C85">
        <w:rPr>
          <w:rFonts w:ascii="Corbel" w:hAnsi="Corbel" w:cs="Times New Roman"/>
        </w:rPr>
        <w:t>%)</w:t>
      </w:r>
      <w:r w:rsidR="00D17B3C" w:rsidRPr="00B56C85">
        <w:rPr>
          <w:rFonts w:ascii="Corbel" w:hAnsi="Corbel" w:cs="Times New Roman"/>
        </w:rPr>
        <w:t xml:space="preserve"> u 2011. godini.</w:t>
      </w:r>
      <w:r w:rsidR="0062061D" w:rsidRPr="00B56C85">
        <w:rPr>
          <w:rFonts w:ascii="Corbel" w:hAnsi="Corbel" w:cs="Times New Roman"/>
        </w:rPr>
        <w:t xml:space="preserve"> </w:t>
      </w:r>
      <w:r w:rsidR="00C8616D" w:rsidRPr="00B56C85">
        <w:rPr>
          <w:rFonts w:ascii="Corbel" w:hAnsi="Corbel" w:cs="Times New Roman"/>
        </w:rPr>
        <w:t xml:space="preserve">  </w:t>
      </w:r>
      <w:r w:rsidR="004A2F24" w:rsidRPr="00B56C85">
        <w:rPr>
          <w:rFonts w:ascii="Corbel" w:hAnsi="Corbel" w:cs="Times New Roman"/>
        </w:rPr>
        <w:t xml:space="preserve">  </w:t>
      </w:r>
    </w:p>
    <w:p w:rsidR="0063294C" w:rsidRPr="00B56C85" w:rsidRDefault="0023592D" w:rsidP="00AA3CB0">
      <w:pPr>
        <w:spacing w:line="240" w:lineRule="auto"/>
        <w:jc w:val="both"/>
        <w:rPr>
          <w:rFonts w:ascii="Corbel" w:hAnsi="Corbel" w:cs="Times New Roman"/>
        </w:rPr>
      </w:pPr>
      <w:r w:rsidRPr="00341212">
        <w:rPr>
          <w:rFonts w:ascii="Corbel" w:hAnsi="Corbel" w:cs="Times New Roman"/>
        </w:rPr>
        <w:t>U strukturi zaposlenih</w:t>
      </w:r>
      <w:r w:rsidR="00DD2323" w:rsidRPr="00341212">
        <w:rPr>
          <w:rFonts w:ascii="Corbel" w:hAnsi="Corbel" w:cs="Times New Roman"/>
        </w:rPr>
        <w:t xml:space="preserve"> u gradu Zadru</w:t>
      </w:r>
      <w:r w:rsidRPr="00341212">
        <w:rPr>
          <w:rFonts w:ascii="Corbel" w:hAnsi="Corbel" w:cs="Times New Roman"/>
        </w:rPr>
        <w:t xml:space="preserve"> najveći je broj zaposlenih u pravnim osobama (80%), zatim kod fizičkih osoba i obrta. </w:t>
      </w:r>
      <w:r w:rsidR="0012772B" w:rsidRPr="00341212">
        <w:rPr>
          <w:rFonts w:ascii="Corbel" w:hAnsi="Corbel" w:cs="Times New Roman"/>
        </w:rPr>
        <w:t xml:space="preserve">Dinamika promjene strukture u broju zaposlenih ukazuje na </w:t>
      </w:r>
      <w:r w:rsidR="0012772B" w:rsidRPr="00341212">
        <w:rPr>
          <w:rFonts w:ascii="Corbel" w:hAnsi="Corbel" w:cs="Times New Roman"/>
          <w:b/>
        </w:rPr>
        <w:t>značajnije smanjivanje</w:t>
      </w:r>
      <w:r w:rsidR="003768C1" w:rsidRPr="00341212">
        <w:rPr>
          <w:rFonts w:ascii="Corbel" w:hAnsi="Corbel" w:cs="Times New Roman"/>
          <w:b/>
        </w:rPr>
        <w:t xml:space="preserve"> broja</w:t>
      </w:r>
      <w:r w:rsidR="0012772B" w:rsidRPr="00341212">
        <w:rPr>
          <w:rFonts w:ascii="Corbel" w:hAnsi="Corbel" w:cs="Times New Roman"/>
          <w:b/>
        </w:rPr>
        <w:t xml:space="preserve"> </w:t>
      </w:r>
      <w:r w:rsidR="003768C1" w:rsidRPr="00341212">
        <w:rPr>
          <w:rFonts w:ascii="Corbel" w:hAnsi="Corbel" w:cs="Times New Roman"/>
          <w:b/>
        </w:rPr>
        <w:t>zaposlenih u obrtima</w:t>
      </w:r>
      <w:r w:rsidR="002C3C6C" w:rsidRPr="00341212">
        <w:rPr>
          <w:rFonts w:ascii="Corbel" w:hAnsi="Corbel" w:cs="Times New Roman"/>
        </w:rPr>
        <w:t xml:space="preserve"> (i poljoprivrednika</w:t>
      </w:r>
      <w:r w:rsidR="003768C1" w:rsidRPr="00341212">
        <w:rPr>
          <w:rFonts w:ascii="Corbel" w:hAnsi="Corbel" w:cs="Times New Roman"/>
        </w:rPr>
        <w:t xml:space="preserve">) koji se smanjuje kontinuirano kroz cijelo desetogodišnje razdoblje u svim gradovima, </w:t>
      </w:r>
      <w:r w:rsidR="00DD2323" w:rsidRPr="00341212">
        <w:rPr>
          <w:rFonts w:ascii="Corbel" w:hAnsi="Corbel" w:cs="Times New Roman"/>
        </w:rPr>
        <w:t xml:space="preserve">da bi </w:t>
      </w:r>
      <w:r w:rsidR="003768C1" w:rsidRPr="00341212">
        <w:rPr>
          <w:rFonts w:ascii="Corbel" w:hAnsi="Corbel" w:cs="Times New Roman"/>
        </w:rPr>
        <w:t xml:space="preserve">u 2011. </w:t>
      </w:r>
      <w:r w:rsidR="002C3C6C" w:rsidRPr="00341212">
        <w:rPr>
          <w:rFonts w:ascii="Corbel" w:hAnsi="Corbel" w:cs="Times New Roman"/>
        </w:rPr>
        <w:t xml:space="preserve">broj zaposlenih u obrtima </w:t>
      </w:r>
      <w:r w:rsidR="00DD2323" w:rsidRPr="00341212">
        <w:rPr>
          <w:rFonts w:ascii="Corbel" w:hAnsi="Corbel" w:cs="Times New Roman"/>
        </w:rPr>
        <w:t>pao</w:t>
      </w:r>
      <w:r w:rsidR="003768C1" w:rsidRPr="00341212">
        <w:rPr>
          <w:rFonts w:ascii="Corbel" w:hAnsi="Corbel" w:cs="Times New Roman"/>
        </w:rPr>
        <w:t xml:space="preserve"> ispod razine od 2001. godine. S druge strane dešava se „procvat“ samostalnih profesionalnih djelatnosti</w:t>
      </w:r>
      <w:r w:rsidR="00496922" w:rsidRPr="00341212">
        <w:rPr>
          <w:rStyle w:val="Referencafusnote"/>
          <w:rFonts w:ascii="Corbel" w:hAnsi="Corbel" w:cs="Times New Roman"/>
        </w:rPr>
        <w:footnoteReference w:id="1"/>
      </w:r>
      <w:r w:rsidR="00496922" w:rsidRPr="00341212">
        <w:rPr>
          <w:rFonts w:ascii="Corbel" w:hAnsi="Corbel" w:cs="Times New Roman"/>
        </w:rPr>
        <w:t xml:space="preserve"> koje su u Zadru porasle za 379%! Broj zaposlenih u samostalnim </w:t>
      </w:r>
      <w:r w:rsidR="00BC2739" w:rsidRPr="00341212">
        <w:rPr>
          <w:rFonts w:ascii="Corbel" w:hAnsi="Corbel" w:cs="Times New Roman"/>
        </w:rPr>
        <w:t>djelatnostima</w:t>
      </w:r>
      <w:r w:rsidR="00496922" w:rsidRPr="00341212">
        <w:rPr>
          <w:rFonts w:ascii="Corbel" w:hAnsi="Corbel" w:cs="Times New Roman"/>
        </w:rPr>
        <w:t xml:space="preserve"> raste kroz cijelo razdoblje u svim g</w:t>
      </w:r>
      <w:r w:rsidR="000E674A" w:rsidRPr="00341212">
        <w:rPr>
          <w:rFonts w:ascii="Corbel" w:hAnsi="Corbel" w:cs="Times New Roman"/>
        </w:rPr>
        <w:t>radovima bez obzira na recesiju,</w:t>
      </w:r>
      <w:r w:rsidR="0060197D" w:rsidRPr="00341212">
        <w:rPr>
          <w:rFonts w:ascii="Corbel" w:hAnsi="Corbel" w:cs="Times New Roman"/>
        </w:rPr>
        <w:t xml:space="preserve"> što znači da te djelatnosti odolijevaju recesiji, ali što ne znači da i one neće </w:t>
      </w:r>
      <w:r w:rsidR="002C3C6C" w:rsidRPr="00341212">
        <w:rPr>
          <w:rFonts w:ascii="Corbel" w:hAnsi="Corbel" w:cs="Times New Roman"/>
        </w:rPr>
        <w:t>stagnirati</w:t>
      </w:r>
      <w:r w:rsidR="0060197D" w:rsidRPr="00341212">
        <w:rPr>
          <w:rFonts w:ascii="Corbel" w:hAnsi="Corbel" w:cs="Times New Roman"/>
        </w:rPr>
        <w:t xml:space="preserve"> ako se negativni trendovi nastave u gospodarstvu, jer upravo usluge koje pružaju te djelatnosti ovise o potražnji gospodarskog sektora za njima.</w:t>
      </w:r>
    </w:p>
    <w:p w:rsidR="00B45198" w:rsidRPr="00AA3CB0" w:rsidRDefault="00B45198" w:rsidP="00B56C85">
      <w:pPr>
        <w:pStyle w:val="Opisslike"/>
        <w:keepNext/>
        <w:jc w:val="both"/>
        <w:rPr>
          <w:rFonts w:ascii="Corbel" w:hAnsi="Corbel"/>
          <w:sz w:val="20"/>
          <w:szCs w:val="22"/>
        </w:rPr>
      </w:pPr>
      <w:bookmarkStart w:id="7" w:name="_Toc351538409"/>
      <w:r w:rsidRPr="00AA3CB0">
        <w:rPr>
          <w:rFonts w:ascii="Corbel" w:hAnsi="Corbel"/>
          <w:sz w:val="20"/>
          <w:szCs w:val="22"/>
        </w:rPr>
        <w:lastRenderedPageBreak/>
        <w:t xml:space="preserve">Tablica </w:t>
      </w:r>
      <w:r w:rsidR="00CB65B4" w:rsidRPr="00AA3CB0">
        <w:rPr>
          <w:rFonts w:ascii="Corbel" w:hAnsi="Corbel"/>
          <w:sz w:val="20"/>
          <w:szCs w:val="22"/>
        </w:rPr>
        <w:fldChar w:fldCharType="begin"/>
      </w:r>
      <w:r w:rsidR="00CB65B4" w:rsidRPr="00AA3CB0">
        <w:rPr>
          <w:rFonts w:ascii="Corbel" w:hAnsi="Corbel"/>
          <w:sz w:val="20"/>
          <w:szCs w:val="22"/>
        </w:rPr>
        <w:instrText xml:space="preserve"> SEQ Tablica \* ARABIC </w:instrText>
      </w:r>
      <w:r w:rsidR="00CB65B4" w:rsidRPr="00AA3CB0">
        <w:rPr>
          <w:rFonts w:ascii="Corbel" w:hAnsi="Corbel"/>
          <w:sz w:val="20"/>
          <w:szCs w:val="22"/>
        </w:rPr>
        <w:fldChar w:fldCharType="separate"/>
      </w:r>
      <w:r w:rsidR="00280AAE">
        <w:rPr>
          <w:rFonts w:ascii="Corbel" w:hAnsi="Corbel"/>
          <w:noProof/>
          <w:sz w:val="20"/>
          <w:szCs w:val="22"/>
        </w:rPr>
        <w:t>4</w:t>
      </w:r>
      <w:r w:rsidR="00CB65B4" w:rsidRPr="00AA3CB0">
        <w:rPr>
          <w:rFonts w:ascii="Corbel" w:hAnsi="Corbel"/>
          <w:noProof/>
          <w:sz w:val="20"/>
          <w:szCs w:val="22"/>
        </w:rPr>
        <w:fldChar w:fldCharType="end"/>
      </w:r>
      <w:r w:rsidRPr="00AA3CB0">
        <w:rPr>
          <w:rFonts w:ascii="Corbel" w:hAnsi="Corbel"/>
          <w:sz w:val="20"/>
          <w:szCs w:val="22"/>
        </w:rPr>
        <w:t>: Osiguranici (broj zaposlenih) prema osnovama osiguranja u 2011. godini u gradu Zadru</w:t>
      </w:r>
      <w:bookmarkEnd w:id="7"/>
    </w:p>
    <w:tbl>
      <w:tblPr>
        <w:tblW w:w="9110" w:type="dxa"/>
        <w:tblInd w:w="93" w:type="dxa"/>
        <w:tblLayout w:type="fixed"/>
        <w:tblLook w:val="04A0" w:firstRow="1" w:lastRow="0" w:firstColumn="1" w:lastColumn="0" w:noHBand="0" w:noVBand="1"/>
      </w:tblPr>
      <w:tblGrid>
        <w:gridCol w:w="3694"/>
        <w:gridCol w:w="1805"/>
        <w:gridCol w:w="1805"/>
        <w:gridCol w:w="1806"/>
      </w:tblGrid>
      <w:tr w:rsidR="00B45198" w:rsidRPr="00B56C85" w:rsidTr="00B45198">
        <w:trPr>
          <w:trHeight w:val="467"/>
        </w:trPr>
        <w:tc>
          <w:tcPr>
            <w:tcW w:w="3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5198" w:rsidRPr="00B56C85" w:rsidRDefault="00B45198" w:rsidP="00B56C85">
            <w:pPr>
              <w:spacing w:after="0" w:line="240" w:lineRule="auto"/>
              <w:jc w:val="both"/>
              <w:rPr>
                <w:rFonts w:ascii="Corbel" w:eastAsia="Times New Roman" w:hAnsi="Corbel" w:cs="Times New Roman"/>
                <w:b/>
                <w:bCs/>
                <w:color w:val="000000"/>
                <w:lang w:eastAsia="hr-HR"/>
              </w:rPr>
            </w:pPr>
            <w:r w:rsidRPr="00B56C85">
              <w:rPr>
                <w:rFonts w:ascii="Corbel" w:eastAsia="Times New Roman" w:hAnsi="Corbel" w:cs="Times New Roman"/>
                <w:b/>
                <w:bCs/>
                <w:color w:val="000000"/>
                <w:lang w:eastAsia="hr-HR"/>
              </w:rPr>
              <w:t>Osnova osiguranja</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rsidR="00B45198" w:rsidRPr="00B56C85" w:rsidRDefault="00CF2EB2" w:rsidP="00B56C85">
            <w:pPr>
              <w:spacing w:after="0" w:line="240" w:lineRule="auto"/>
              <w:jc w:val="both"/>
              <w:rPr>
                <w:rFonts w:ascii="Corbel" w:eastAsia="Times New Roman" w:hAnsi="Corbel" w:cs="Times New Roman"/>
                <w:b/>
                <w:bCs/>
                <w:color w:val="000000"/>
                <w:lang w:eastAsia="hr-HR"/>
              </w:rPr>
            </w:pPr>
            <w:r w:rsidRPr="00B56C85">
              <w:rPr>
                <w:rFonts w:ascii="Corbel" w:eastAsia="Times New Roman" w:hAnsi="Corbel" w:cs="Times New Roman"/>
                <w:b/>
                <w:bCs/>
                <w:color w:val="000000"/>
                <w:lang w:eastAsia="hr-HR"/>
              </w:rPr>
              <w:t>Broj o</w:t>
            </w:r>
            <w:r w:rsidR="00B45198" w:rsidRPr="00B56C85">
              <w:rPr>
                <w:rFonts w:ascii="Corbel" w:eastAsia="Times New Roman" w:hAnsi="Corbel" w:cs="Times New Roman"/>
                <w:b/>
                <w:bCs/>
                <w:color w:val="000000"/>
                <w:lang w:eastAsia="hr-HR"/>
              </w:rPr>
              <w:t>siguranika Zadar</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rsidR="00B45198" w:rsidRPr="00B56C85" w:rsidRDefault="00A61305" w:rsidP="00B56C85">
            <w:pPr>
              <w:spacing w:after="0" w:line="240" w:lineRule="auto"/>
              <w:jc w:val="both"/>
              <w:rPr>
                <w:rFonts w:ascii="Corbel" w:eastAsia="Times New Roman" w:hAnsi="Corbel" w:cs="Times New Roman"/>
                <w:b/>
                <w:bCs/>
                <w:color w:val="000000"/>
                <w:lang w:eastAsia="hr-HR"/>
              </w:rPr>
            </w:pPr>
            <w:r>
              <w:rPr>
                <w:rFonts w:ascii="Corbel" w:eastAsia="Times New Roman" w:hAnsi="Corbel" w:cs="Times New Roman"/>
                <w:b/>
                <w:bCs/>
                <w:color w:val="000000"/>
                <w:lang w:eastAsia="hr-HR"/>
              </w:rPr>
              <w:t>I</w:t>
            </w:r>
            <w:r w:rsidR="00B45198" w:rsidRPr="00B56C85">
              <w:rPr>
                <w:rFonts w:ascii="Corbel" w:eastAsia="Times New Roman" w:hAnsi="Corbel" w:cs="Times New Roman"/>
                <w:b/>
                <w:bCs/>
                <w:color w:val="000000"/>
                <w:lang w:eastAsia="hr-HR"/>
              </w:rPr>
              <w:t>ndeks</w:t>
            </w:r>
            <w:r>
              <w:rPr>
                <w:rFonts w:ascii="Corbel" w:eastAsia="Times New Roman" w:hAnsi="Corbel" w:cs="Times New Roman"/>
                <w:b/>
                <w:bCs/>
                <w:color w:val="000000"/>
                <w:lang w:eastAsia="hr-HR"/>
              </w:rPr>
              <w:t xml:space="preserve"> 2011/2010</w:t>
            </w:r>
          </w:p>
        </w:tc>
        <w:tc>
          <w:tcPr>
            <w:tcW w:w="1806" w:type="dxa"/>
            <w:tcBorders>
              <w:top w:val="single" w:sz="4" w:space="0" w:color="auto"/>
              <w:left w:val="nil"/>
              <w:bottom w:val="single" w:sz="4" w:space="0" w:color="auto"/>
              <w:right w:val="single" w:sz="4" w:space="0" w:color="auto"/>
            </w:tcBorders>
            <w:shd w:val="clear" w:color="auto" w:fill="auto"/>
            <w:vAlign w:val="center"/>
            <w:hideMark/>
          </w:tcPr>
          <w:p w:rsidR="00B45198" w:rsidRPr="00B56C85" w:rsidRDefault="00B45198" w:rsidP="00B56C85">
            <w:pPr>
              <w:spacing w:after="0" w:line="240" w:lineRule="auto"/>
              <w:jc w:val="both"/>
              <w:rPr>
                <w:rFonts w:ascii="Corbel" w:eastAsia="Times New Roman" w:hAnsi="Corbel" w:cs="Times New Roman"/>
                <w:b/>
                <w:bCs/>
                <w:color w:val="000000"/>
                <w:lang w:eastAsia="hr-HR"/>
              </w:rPr>
            </w:pPr>
            <w:r w:rsidRPr="00B56C85">
              <w:rPr>
                <w:rFonts w:ascii="Corbel" w:eastAsia="Times New Roman" w:hAnsi="Corbel" w:cs="Times New Roman"/>
                <w:b/>
                <w:bCs/>
                <w:color w:val="000000"/>
                <w:lang w:eastAsia="hr-HR"/>
              </w:rPr>
              <w:t>%</w:t>
            </w:r>
          </w:p>
        </w:tc>
      </w:tr>
      <w:tr w:rsidR="00B45198" w:rsidRPr="00B56C85" w:rsidTr="00B45198">
        <w:trPr>
          <w:trHeight w:val="275"/>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Radnici kod pravnih osoba</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26842</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100,28</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79,94</w:t>
            </w:r>
          </w:p>
        </w:tc>
      </w:tr>
      <w:tr w:rsidR="00B45198" w:rsidRPr="00B56C85" w:rsidTr="00B45198">
        <w:trPr>
          <w:trHeight w:val="275"/>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Radnici kod fizičkih osoba</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3282</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93,34</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9,77</w:t>
            </w:r>
          </w:p>
        </w:tc>
      </w:tr>
      <w:tr w:rsidR="00B45198" w:rsidRPr="00B56C85" w:rsidTr="00B45198">
        <w:trPr>
          <w:trHeight w:val="275"/>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Obrtnici</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1718</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97,06</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5,12</w:t>
            </w:r>
          </w:p>
        </w:tc>
      </w:tr>
      <w:tr w:rsidR="00B45198" w:rsidRPr="00B56C85" w:rsidTr="00B45198">
        <w:trPr>
          <w:trHeight w:val="275"/>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Poljoprivrednici</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66</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108,20</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0,20</w:t>
            </w:r>
          </w:p>
        </w:tc>
      </w:tr>
      <w:tr w:rsidR="00B45198" w:rsidRPr="00B56C85" w:rsidTr="00F12249">
        <w:trPr>
          <w:trHeight w:val="186"/>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 xml:space="preserve">Samostalne profesionalne djelatnosti </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1278</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115,03</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3,81</w:t>
            </w:r>
          </w:p>
        </w:tc>
      </w:tr>
      <w:tr w:rsidR="00B45198" w:rsidRPr="00B56C85" w:rsidTr="00F12249">
        <w:trPr>
          <w:trHeight w:val="902"/>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AA3CB0">
            <w:pPr>
              <w:spacing w:after="0" w:line="240" w:lineRule="auto"/>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 xml:space="preserve">Osiguranici zaposleni kod međ. </w:t>
            </w:r>
            <w:proofErr w:type="spellStart"/>
            <w:r w:rsidRPr="00B56C85">
              <w:rPr>
                <w:rFonts w:ascii="Corbel" w:eastAsia="Times New Roman" w:hAnsi="Corbel" w:cs="Times New Roman"/>
                <w:color w:val="000000"/>
                <w:lang w:eastAsia="hr-HR"/>
              </w:rPr>
              <w:t>org</w:t>
            </w:r>
            <w:proofErr w:type="spellEnd"/>
            <w:r w:rsidRPr="00B56C85">
              <w:rPr>
                <w:rFonts w:ascii="Corbel" w:eastAsia="Times New Roman" w:hAnsi="Corbel" w:cs="Times New Roman"/>
                <w:color w:val="000000"/>
                <w:lang w:eastAsia="hr-HR"/>
              </w:rPr>
              <w:t>. u inozemstvu i hrvatski državljani zaposleni na teritoriju RH kod poslodavaca sa sjedištem u inozemstvu</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17</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94,44</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0,05</w:t>
            </w:r>
          </w:p>
        </w:tc>
      </w:tr>
      <w:tr w:rsidR="00B45198" w:rsidRPr="00B56C85" w:rsidTr="00B45198">
        <w:trPr>
          <w:trHeight w:val="275"/>
        </w:trPr>
        <w:tc>
          <w:tcPr>
            <w:tcW w:w="3694" w:type="dxa"/>
            <w:tcBorders>
              <w:top w:val="nil"/>
              <w:left w:val="single" w:sz="4" w:space="0" w:color="auto"/>
              <w:bottom w:val="single" w:sz="4" w:space="0" w:color="auto"/>
              <w:right w:val="single" w:sz="4" w:space="0" w:color="auto"/>
            </w:tcBorders>
            <w:shd w:val="clear" w:color="auto" w:fill="auto"/>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Produženo osiguranje</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376</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86,04</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1,12</w:t>
            </w:r>
          </w:p>
        </w:tc>
      </w:tr>
      <w:tr w:rsidR="00B45198" w:rsidRPr="00B56C85" w:rsidTr="00B45198">
        <w:trPr>
          <w:trHeight w:val="275"/>
        </w:trPr>
        <w:tc>
          <w:tcPr>
            <w:tcW w:w="3694" w:type="dxa"/>
            <w:tcBorders>
              <w:top w:val="nil"/>
              <w:left w:val="single" w:sz="4" w:space="0" w:color="auto"/>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UKUPNO</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33</w:t>
            </w:r>
            <w:r w:rsidR="00C4570A" w:rsidRPr="00B56C85">
              <w:rPr>
                <w:rFonts w:ascii="Corbel" w:eastAsia="Times New Roman" w:hAnsi="Corbel" w:cs="Times New Roman"/>
                <w:color w:val="000000"/>
                <w:lang w:eastAsia="hr-HR"/>
              </w:rPr>
              <w:t>.</w:t>
            </w:r>
            <w:r w:rsidRPr="00B56C85">
              <w:rPr>
                <w:rFonts w:ascii="Corbel" w:eastAsia="Times New Roman" w:hAnsi="Corbel" w:cs="Times New Roman"/>
                <w:color w:val="000000"/>
                <w:lang w:eastAsia="hr-HR"/>
              </w:rPr>
              <w:t>579</w:t>
            </w:r>
          </w:p>
        </w:tc>
        <w:tc>
          <w:tcPr>
            <w:tcW w:w="1805"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99,70</w:t>
            </w:r>
          </w:p>
        </w:tc>
        <w:tc>
          <w:tcPr>
            <w:tcW w:w="1806" w:type="dxa"/>
            <w:tcBorders>
              <w:top w:val="nil"/>
              <w:left w:val="nil"/>
              <w:bottom w:val="single" w:sz="4" w:space="0" w:color="auto"/>
              <w:right w:val="single" w:sz="4" w:space="0" w:color="auto"/>
            </w:tcBorders>
            <w:shd w:val="clear" w:color="auto" w:fill="auto"/>
            <w:noWrap/>
            <w:vAlign w:val="bottom"/>
            <w:hideMark/>
          </w:tcPr>
          <w:p w:rsidR="00B45198" w:rsidRPr="00B56C85" w:rsidRDefault="00B45198" w:rsidP="00B56C85">
            <w:pPr>
              <w:spacing w:after="0" w:line="240" w:lineRule="auto"/>
              <w:jc w:val="both"/>
              <w:rPr>
                <w:rFonts w:ascii="Corbel" w:eastAsia="Times New Roman" w:hAnsi="Corbel" w:cs="Times New Roman"/>
                <w:color w:val="000000"/>
                <w:lang w:eastAsia="hr-HR"/>
              </w:rPr>
            </w:pPr>
            <w:r w:rsidRPr="00B56C85">
              <w:rPr>
                <w:rFonts w:ascii="Corbel" w:eastAsia="Times New Roman" w:hAnsi="Corbel" w:cs="Times New Roman"/>
                <w:color w:val="000000"/>
                <w:lang w:eastAsia="hr-HR"/>
              </w:rPr>
              <w:t>100,00</w:t>
            </w:r>
          </w:p>
        </w:tc>
      </w:tr>
    </w:tbl>
    <w:p w:rsidR="00B45198" w:rsidRPr="00B56C85" w:rsidRDefault="005527DD" w:rsidP="00B56C85">
      <w:pPr>
        <w:jc w:val="both"/>
        <w:rPr>
          <w:rFonts w:ascii="Corbel" w:hAnsi="Corbel" w:cs="Times New Roman"/>
        </w:rPr>
      </w:pPr>
      <w:r w:rsidRPr="00B56C85">
        <w:rPr>
          <w:rFonts w:ascii="Corbel" w:hAnsi="Corbel" w:cs="Times New Roman"/>
        </w:rPr>
        <w:t>Izvor: HZMO, Statističke informacije,</w:t>
      </w:r>
      <w:r w:rsidR="00F12249" w:rsidRPr="00B56C85">
        <w:rPr>
          <w:rFonts w:ascii="Corbel" w:hAnsi="Corbel" w:cs="Times New Roman"/>
        </w:rPr>
        <w:t xml:space="preserve"> 2011. godina</w:t>
      </w:r>
      <w:r w:rsidRPr="00B56C85">
        <w:rPr>
          <w:rFonts w:ascii="Corbel" w:hAnsi="Corbel" w:cs="Times New Roman"/>
        </w:rPr>
        <w:t>; obrada: ZADRA</w:t>
      </w:r>
    </w:p>
    <w:p w:rsidR="00934965" w:rsidRPr="00AA3CB0" w:rsidRDefault="00934965" w:rsidP="00BF5941">
      <w:pPr>
        <w:pStyle w:val="Opisslike"/>
        <w:keepNext/>
        <w:rPr>
          <w:rFonts w:ascii="Corbel" w:hAnsi="Corbel"/>
        </w:rPr>
      </w:pPr>
      <w:bookmarkStart w:id="8" w:name="_Toc351538465"/>
      <w:r w:rsidRPr="00AA3CB0">
        <w:rPr>
          <w:rFonts w:ascii="Corbel" w:hAnsi="Corbel"/>
        </w:rPr>
        <w:t xml:space="preserve">Slika </w:t>
      </w:r>
      <w:r w:rsidR="00CB65B4" w:rsidRPr="00AA3CB0">
        <w:rPr>
          <w:rFonts w:ascii="Corbel" w:hAnsi="Corbel"/>
        </w:rPr>
        <w:fldChar w:fldCharType="begin"/>
      </w:r>
      <w:r w:rsidR="00CB65B4" w:rsidRPr="00AA3CB0">
        <w:rPr>
          <w:rFonts w:ascii="Corbel" w:hAnsi="Corbel"/>
        </w:rPr>
        <w:instrText xml:space="preserve"> SEQ Slika \* ARABIC </w:instrText>
      </w:r>
      <w:r w:rsidR="00CB65B4" w:rsidRPr="00AA3CB0">
        <w:rPr>
          <w:rFonts w:ascii="Corbel" w:hAnsi="Corbel"/>
        </w:rPr>
        <w:fldChar w:fldCharType="separate"/>
      </w:r>
      <w:r w:rsidR="001E7A09">
        <w:rPr>
          <w:rFonts w:ascii="Corbel" w:hAnsi="Corbel"/>
          <w:noProof/>
        </w:rPr>
        <w:t>2</w:t>
      </w:r>
      <w:r w:rsidR="00CB65B4" w:rsidRPr="00AA3CB0">
        <w:rPr>
          <w:rFonts w:ascii="Corbel" w:hAnsi="Corbel"/>
          <w:noProof/>
        </w:rPr>
        <w:fldChar w:fldCharType="end"/>
      </w:r>
      <w:r w:rsidRPr="00AA3CB0">
        <w:rPr>
          <w:rFonts w:ascii="Corbel" w:hAnsi="Corbel"/>
        </w:rPr>
        <w:t>: Struktura zaposlenih prema vrsti poslodavca</w:t>
      </w:r>
      <w:r w:rsidR="005826B0" w:rsidRPr="00AA3CB0">
        <w:rPr>
          <w:rFonts w:ascii="Corbel" w:hAnsi="Corbel"/>
        </w:rPr>
        <w:t xml:space="preserve"> u gradu Zadru</w:t>
      </w:r>
      <w:bookmarkEnd w:id="8"/>
    </w:p>
    <w:p w:rsidR="00FA0359" w:rsidRPr="00AA3CB0" w:rsidRDefault="00934965" w:rsidP="000C068F">
      <w:pPr>
        <w:spacing w:after="0"/>
        <w:rPr>
          <w:rFonts w:ascii="Corbel" w:hAnsi="Corbel" w:cs="Times New Roman"/>
        </w:rPr>
      </w:pPr>
      <w:r w:rsidRPr="00AA3CB0">
        <w:rPr>
          <w:rFonts w:ascii="Corbel" w:hAnsi="Corbel" w:cs="Times New Roman"/>
          <w:noProof/>
          <w:lang w:eastAsia="hr-HR"/>
        </w:rPr>
        <w:drawing>
          <wp:inline distT="0" distB="0" distL="0" distR="0" wp14:anchorId="69D45EE8" wp14:editId="1349DFB2">
            <wp:extent cx="4819650" cy="2743200"/>
            <wp:effectExtent l="0" t="0" r="19050" b="19050"/>
            <wp:docPr id="5" name="Grafikon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C068F" w:rsidRDefault="000C068F" w:rsidP="000C068F">
      <w:pPr>
        <w:rPr>
          <w:rFonts w:ascii="Times New Roman" w:hAnsi="Times New Roman" w:cs="Times New Roman"/>
        </w:rPr>
      </w:pPr>
      <w:r>
        <w:rPr>
          <w:rFonts w:ascii="Times New Roman" w:hAnsi="Times New Roman" w:cs="Times New Roman"/>
        </w:rPr>
        <w:t>Izvor: HZMO, Statističke informacije, 2011. godina; obrada: ZADRA</w:t>
      </w:r>
    </w:p>
    <w:p w:rsidR="00716560" w:rsidRPr="00341212" w:rsidRDefault="0019770C" w:rsidP="00AA3CB0">
      <w:pPr>
        <w:spacing w:line="240" w:lineRule="auto"/>
        <w:jc w:val="both"/>
        <w:rPr>
          <w:rFonts w:ascii="Corbel" w:hAnsi="Corbel" w:cs="Times New Roman"/>
        </w:rPr>
      </w:pPr>
      <w:r w:rsidRPr="00AA3CB0">
        <w:rPr>
          <w:rFonts w:ascii="Corbel" w:hAnsi="Corbel" w:cs="Times New Roman"/>
        </w:rPr>
        <w:t xml:space="preserve">U razdoblju od 2001. do 2008. (2001 je uzeta za baznu godinu) </w:t>
      </w:r>
      <w:r w:rsidRPr="00AA3CB0">
        <w:rPr>
          <w:rFonts w:ascii="Corbel" w:hAnsi="Corbel" w:cs="Times New Roman"/>
          <w:b/>
        </w:rPr>
        <w:t>godine grad Zadar ima najveći postotni porast zaposlenosti (29%) u odnosu na ostale gradove Jadranske Hrvatske</w:t>
      </w:r>
      <w:r w:rsidR="006A1EA7" w:rsidRPr="00AA3CB0">
        <w:rPr>
          <w:rFonts w:ascii="Corbel" w:hAnsi="Corbel" w:cs="Times New Roman"/>
          <w:b/>
        </w:rPr>
        <w:t xml:space="preserve"> </w:t>
      </w:r>
      <w:r w:rsidR="006A1EA7" w:rsidRPr="00AA3CB0">
        <w:rPr>
          <w:rFonts w:ascii="Corbel" w:hAnsi="Corbel" w:cs="Times New Roman"/>
        </w:rPr>
        <w:t>(vidi graf Indeks broja zaposlenih)</w:t>
      </w:r>
      <w:r w:rsidRPr="00AA3CB0">
        <w:rPr>
          <w:rFonts w:ascii="Corbel" w:hAnsi="Corbel" w:cs="Times New Roman"/>
        </w:rPr>
        <w:t xml:space="preserve">. Iza njega </w:t>
      </w:r>
      <w:r w:rsidR="007D78A7" w:rsidRPr="00AA3CB0">
        <w:rPr>
          <w:rFonts w:ascii="Corbel" w:hAnsi="Corbel" w:cs="Times New Roman"/>
        </w:rPr>
        <w:t>slijedi</w:t>
      </w:r>
      <w:r w:rsidRPr="00AA3CB0">
        <w:rPr>
          <w:rFonts w:ascii="Corbel" w:hAnsi="Corbel" w:cs="Times New Roman"/>
        </w:rPr>
        <w:t xml:space="preserve"> Split što ova dva grada svrstava u gradove sa iznadprosječnom stopom rasta u promatranom razdoblju. Nakon 2008. slijedi pad zaposlenosti u svim gradovima, pri čemu se broj zaposlenih u većini gradova približava razini iz 2001. godine, dok u Rijeci pada ispod razine od 2001. godine. Gledajući cijelo </w:t>
      </w:r>
      <w:r w:rsidRPr="00AA3CB0">
        <w:rPr>
          <w:rFonts w:ascii="Corbel" w:hAnsi="Corbel" w:cs="Times New Roman"/>
          <w:b/>
        </w:rPr>
        <w:t>desetogodišnje razdoblje grad Zadar također ima najveći porast (21%) u odnosu na 2001</w:t>
      </w:r>
      <w:r w:rsidRPr="00AA3CB0">
        <w:rPr>
          <w:rFonts w:ascii="Corbel" w:hAnsi="Corbel" w:cs="Times New Roman"/>
        </w:rPr>
        <w:t xml:space="preserve">., unatoč padu broja zaposlenih nakon 2008. godine u svim </w:t>
      </w:r>
      <w:r w:rsidRPr="00341212">
        <w:rPr>
          <w:rFonts w:ascii="Corbel" w:hAnsi="Corbel" w:cs="Times New Roman"/>
        </w:rPr>
        <w:t xml:space="preserve">gradovima. Radi se o značajnom padu u svim gradovima što potvrđuje velike gospodarske probleme s </w:t>
      </w:r>
      <w:r w:rsidR="00DD2323" w:rsidRPr="00341212">
        <w:rPr>
          <w:rFonts w:ascii="Corbel" w:hAnsi="Corbel" w:cs="Times New Roman"/>
        </w:rPr>
        <w:t xml:space="preserve">kojima se gospodarstvo suočava i </w:t>
      </w:r>
      <w:r w:rsidR="002C3C6C" w:rsidRPr="00341212">
        <w:rPr>
          <w:rFonts w:ascii="Corbel" w:hAnsi="Corbel" w:cs="Times New Roman"/>
        </w:rPr>
        <w:t>nemogućnost</w:t>
      </w:r>
      <w:r w:rsidRPr="00341212">
        <w:rPr>
          <w:rFonts w:ascii="Corbel" w:hAnsi="Corbel" w:cs="Times New Roman"/>
        </w:rPr>
        <w:t xml:space="preserve"> gospodarstva da generira zaposlenost. Brzina pada zaposlenosti  ovisi o strukturi gospodarstva, pa će tako gradovi u kojima primjerice prevladava djelatnost koja je jače pogođena krizom (npr. Industrijska proizvodnja) brže gubiti zaposlene od ostalih gradova, što je vrlo vjerojatno slučaj sa Rijekom</w:t>
      </w:r>
      <w:r w:rsidR="00271254" w:rsidRPr="00341212">
        <w:rPr>
          <w:rFonts w:ascii="Corbel" w:hAnsi="Corbel" w:cs="Times New Roman"/>
        </w:rPr>
        <w:t xml:space="preserve"> i Pulom, koje su od izabranih gradova najbrže opadali od 2008.-2011. godine.</w:t>
      </w:r>
    </w:p>
    <w:p w:rsidR="00BF5941" w:rsidRPr="00AA3CB0" w:rsidRDefault="00BF5941" w:rsidP="00AA3CB0">
      <w:pPr>
        <w:pStyle w:val="Opisslike"/>
        <w:keepNext/>
        <w:spacing w:after="120"/>
        <w:rPr>
          <w:rFonts w:ascii="Corbel" w:hAnsi="Corbel"/>
        </w:rPr>
      </w:pPr>
      <w:bookmarkStart w:id="9" w:name="_Toc351538466"/>
      <w:r w:rsidRPr="00AA3CB0">
        <w:rPr>
          <w:rFonts w:ascii="Corbel" w:hAnsi="Corbel"/>
        </w:rPr>
        <w:lastRenderedPageBreak/>
        <w:t xml:space="preserve">Slika </w:t>
      </w:r>
      <w:r w:rsidR="00CB65B4" w:rsidRPr="00AA3CB0">
        <w:rPr>
          <w:rFonts w:ascii="Corbel" w:hAnsi="Corbel"/>
        </w:rPr>
        <w:fldChar w:fldCharType="begin"/>
      </w:r>
      <w:r w:rsidR="00CB65B4" w:rsidRPr="00AA3CB0">
        <w:rPr>
          <w:rFonts w:ascii="Corbel" w:hAnsi="Corbel"/>
        </w:rPr>
        <w:instrText xml:space="preserve"> SEQ Slika \* ARABIC </w:instrText>
      </w:r>
      <w:r w:rsidR="00CB65B4" w:rsidRPr="00AA3CB0">
        <w:rPr>
          <w:rFonts w:ascii="Corbel" w:hAnsi="Corbel"/>
        </w:rPr>
        <w:fldChar w:fldCharType="separate"/>
      </w:r>
      <w:r w:rsidR="001E7A09">
        <w:rPr>
          <w:rFonts w:ascii="Corbel" w:hAnsi="Corbel"/>
          <w:noProof/>
        </w:rPr>
        <w:t>3</w:t>
      </w:r>
      <w:r w:rsidR="00CB65B4" w:rsidRPr="00AA3CB0">
        <w:rPr>
          <w:rFonts w:ascii="Corbel" w:hAnsi="Corbel"/>
          <w:noProof/>
        </w:rPr>
        <w:fldChar w:fldCharType="end"/>
      </w:r>
      <w:r w:rsidRPr="00AA3CB0">
        <w:rPr>
          <w:rFonts w:ascii="Corbel" w:hAnsi="Corbel"/>
        </w:rPr>
        <w:t>: Indeks broja zaposlenih po godinama</w:t>
      </w:r>
      <w:r w:rsidR="0055781B" w:rsidRPr="00AA3CB0">
        <w:rPr>
          <w:rFonts w:ascii="Corbel" w:hAnsi="Corbel"/>
        </w:rPr>
        <w:t xml:space="preserve"> i gradovima od 2001.-2011. godine</w:t>
      </w:r>
      <w:r w:rsidR="00BC6E35" w:rsidRPr="00AA3CB0">
        <w:rPr>
          <w:rFonts w:ascii="Corbel" w:hAnsi="Corbel"/>
        </w:rPr>
        <w:t>, 2001=100</w:t>
      </w:r>
      <w:bookmarkEnd w:id="9"/>
    </w:p>
    <w:p w:rsidR="00BB219D" w:rsidRPr="00AA3CB0" w:rsidRDefault="00BB219D" w:rsidP="00AA3CB0">
      <w:pPr>
        <w:spacing w:after="0" w:line="240" w:lineRule="auto"/>
        <w:rPr>
          <w:rFonts w:ascii="Corbel" w:hAnsi="Corbel" w:cs="Times New Roman"/>
          <w:color w:val="FF0000"/>
        </w:rPr>
      </w:pPr>
      <w:r w:rsidRPr="00AA3CB0">
        <w:rPr>
          <w:rFonts w:ascii="Corbel" w:hAnsi="Corbel"/>
          <w:noProof/>
          <w:lang w:eastAsia="hr-HR"/>
        </w:rPr>
        <w:drawing>
          <wp:inline distT="0" distB="0" distL="0" distR="0" wp14:anchorId="19EFB7F9" wp14:editId="1C718455">
            <wp:extent cx="5229225" cy="3162300"/>
            <wp:effectExtent l="0" t="0" r="9525" b="19050"/>
            <wp:docPr id="2" name="Grafikon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F5941" w:rsidRPr="00AA3CB0" w:rsidRDefault="00BF5941" w:rsidP="00AA3CB0">
      <w:pPr>
        <w:spacing w:line="240" w:lineRule="auto"/>
        <w:rPr>
          <w:rFonts w:ascii="Corbel" w:hAnsi="Corbel" w:cs="Times New Roman"/>
        </w:rPr>
      </w:pPr>
      <w:r w:rsidRPr="00AA3CB0">
        <w:rPr>
          <w:rFonts w:ascii="Corbel" w:hAnsi="Corbel" w:cs="Times New Roman"/>
        </w:rPr>
        <w:t>Izvor: HZMO, Statističke informacije, po godinama; obrada: ZADRA</w:t>
      </w:r>
    </w:p>
    <w:p w:rsidR="0019770C" w:rsidRPr="00341212" w:rsidRDefault="0019770C" w:rsidP="00AA3CB0">
      <w:pPr>
        <w:spacing w:line="240" w:lineRule="auto"/>
        <w:jc w:val="both"/>
        <w:rPr>
          <w:rFonts w:ascii="Corbel" w:hAnsi="Corbel" w:cs="Times New Roman"/>
        </w:rPr>
      </w:pPr>
      <w:r w:rsidRPr="00341212">
        <w:rPr>
          <w:rFonts w:ascii="Corbel" w:hAnsi="Corbel" w:cs="Times New Roman"/>
        </w:rPr>
        <w:t>Zabrinjava podatak da u pojedinim gradovima zaposlenost opada brže od 2008. do 2011. godine nego št</w:t>
      </w:r>
      <w:r w:rsidR="007066A1" w:rsidRPr="00341212">
        <w:rPr>
          <w:rFonts w:ascii="Corbel" w:hAnsi="Corbel" w:cs="Times New Roman"/>
        </w:rPr>
        <w:t>o je rasla od 2001.-2008</w:t>
      </w:r>
      <w:r w:rsidR="00EE2E05" w:rsidRPr="00341212">
        <w:rPr>
          <w:rFonts w:ascii="Corbel" w:hAnsi="Corbel" w:cs="Times New Roman"/>
        </w:rPr>
        <w:t>.</w:t>
      </w:r>
      <w:r w:rsidR="007066A1" w:rsidRPr="00341212">
        <w:rPr>
          <w:rFonts w:ascii="Corbel" w:hAnsi="Corbel" w:cs="Times New Roman"/>
        </w:rPr>
        <w:t xml:space="preserve"> godine</w:t>
      </w:r>
      <w:r w:rsidRPr="00341212">
        <w:rPr>
          <w:rFonts w:ascii="Corbel" w:hAnsi="Corbel" w:cs="Times New Roman"/>
        </w:rPr>
        <w:t xml:space="preserve"> u razdoblju rasta, što je vidljivo iz prosječne godišnje stope rasta. To znači da u svega nekoliko godina krize gubimo "desetljeće razvoja" što je sigurno zabrinjavajući podatak. </w:t>
      </w:r>
      <w:r w:rsidR="00E44A4B" w:rsidRPr="00341212">
        <w:rPr>
          <w:rFonts w:ascii="Corbel" w:hAnsi="Corbel" w:cs="Times New Roman"/>
        </w:rPr>
        <w:t>To je još uvijek</w:t>
      </w:r>
      <w:r w:rsidRPr="00341212">
        <w:rPr>
          <w:rFonts w:ascii="Corbel" w:hAnsi="Corbel" w:cs="Times New Roman"/>
        </w:rPr>
        <w:t xml:space="preserve"> najmanje izraženo u Zadru</w:t>
      </w:r>
      <w:r w:rsidR="00271254" w:rsidRPr="00341212">
        <w:rPr>
          <w:rFonts w:ascii="Corbel" w:hAnsi="Corbel" w:cs="Times New Roman"/>
        </w:rPr>
        <w:t xml:space="preserve"> i Dubrovniku</w:t>
      </w:r>
      <w:r w:rsidRPr="00341212">
        <w:rPr>
          <w:rFonts w:ascii="Corbel" w:hAnsi="Corbel" w:cs="Times New Roman"/>
        </w:rPr>
        <w:t>, ali ako se negativni trendovi nastave i nakon 2013. i Zadar će se približiti razini z</w:t>
      </w:r>
      <w:r w:rsidR="007D78A7" w:rsidRPr="00341212">
        <w:rPr>
          <w:rFonts w:ascii="Corbel" w:hAnsi="Corbel" w:cs="Times New Roman"/>
        </w:rPr>
        <w:t>aposlenosti iz 2001. godine</w:t>
      </w:r>
      <w:r w:rsidRPr="00341212">
        <w:rPr>
          <w:rFonts w:ascii="Corbel" w:hAnsi="Corbel" w:cs="Times New Roman"/>
        </w:rPr>
        <w:t xml:space="preserve">. Zamjetna je također visoka sličnost trenda porasta i pada broja zaposlenih između svih gradova što ukazuje da </w:t>
      </w:r>
      <w:r w:rsidR="00A61305" w:rsidRPr="00341212">
        <w:rPr>
          <w:rFonts w:ascii="Corbel" w:hAnsi="Corbel" w:cs="Times New Roman"/>
        </w:rPr>
        <w:t>većinu gradova</w:t>
      </w:r>
      <w:r w:rsidRPr="00341212">
        <w:rPr>
          <w:rFonts w:ascii="Corbel" w:hAnsi="Corbel" w:cs="Times New Roman"/>
        </w:rPr>
        <w:t xml:space="preserve"> "muče" slični "vanjski" problemi. Svi</w:t>
      </w:r>
      <w:r w:rsidR="00DD2323" w:rsidRPr="00341212">
        <w:rPr>
          <w:rFonts w:ascii="Corbel" w:hAnsi="Corbel" w:cs="Times New Roman"/>
        </w:rPr>
        <w:t xml:space="preserve"> gradovi</w:t>
      </w:r>
      <w:r w:rsidRPr="00341212">
        <w:rPr>
          <w:rFonts w:ascii="Corbel" w:hAnsi="Corbel" w:cs="Times New Roman"/>
        </w:rPr>
        <w:t xml:space="preserve"> bilježe umjereni rast do 2006</w:t>
      </w:r>
      <w:r w:rsidR="007D78A7" w:rsidRPr="00341212">
        <w:rPr>
          <w:rFonts w:ascii="Corbel" w:hAnsi="Corbel" w:cs="Times New Roman"/>
        </w:rPr>
        <w:t>.</w:t>
      </w:r>
      <w:r w:rsidRPr="00341212">
        <w:rPr>
          <w:rFonts w:ascii="Corbel" w:hAnsi="Corbel" w:cs="Times New Roman"/>
        </w:rPr>
        <w:t xml:space="preserve">, nakon čega </w:t>
      </w:r>
      <w:r w:rsidR="007D78A7" w:rsidRPr="00341212">
        <w:rPr>
          <w:rFonts w:ascii="Corbel" w:hAnsi="Corbel" w:cs="Times New Roman"/>
        </w:rPr>
        <w:t>slijedi</w:t>
      </w:r>
      <w:r w:rsidRPr="00341212">
        <w:rPr>
          <w:rFonts w:ascii="Corbel" w:hAnsi="Corbel" w:cs="Times New Roman"/>
        </w:rPr>
        <w:t xml:space="preserve"> nešto viši porast u 2007. godini, koji se održava u 2008. godini i zatim </w:t>
      </w:r>
      <w:r w:rsidR="007D78A7" w:rsidRPr="00341212">
        <w:rPr>
          <w:rFonts w:ascii="Corbel" w:hAnsi="Corbel" w:cs="Times New Roman"/>
        </w:rPr>
        <w:t>slijedi</w:t>
      </w:r>
      <w:r w:rsidRPr="00341212">
        <w:rPr>
          <w:rFonts w:ascii="Corbel" w:hAnsi="Corbel" w:cs="Times New Roman"/>
        </w:rPr>
        <w:t xml:space="preserve"> gospodarska</w:t>
      </w:r>
      <w:r w:rsidR="00DD2323" w:rsidRPr="00341212">
        <w:rPr>
          <w:rFonts w:ascii="Corbel" w:hAnsi="Corbel" w:cs="Times New Roman"/>
        </w:rPr>
        <w:t xml:space="preserve"> kriza i opći pad gospodarstva koja traje do danas.</w:t>
      </w:r>
    </w:p>
    <w:p w:rsidR="008B5DFD" w:rsidRPr="00AA3CB0" w:rsidRDefault="008B5DFD" w:rsidP="00AA3CB0">
      <w:pPr>
        <w:pStyle w:val="Opisslike"/>
        <w:keepNext/>
        <w:rPr>
          <w:rFonts w:ascii="Corbel" w:hAnsi="Corbel"/>
        </w:rPr>
      </w:pPr>
      <w:bookmarkStart w:id="10" w:name="_Toc351538410"/>
      <w:r w:rsidRPr="00AA3CB0">
        <w:rPr>
          <w:rFonts w:ascii="Corbel" w:hAnsi="Corbel"/>
        </w:rPr>
        <w:t xml:space="preserve">Tablica </w:t>
      </w:r>
      <w:r w:rsidR="00CB65B4" w:rsidRPr="00AA3CB0">
        <w:rPr>
          <w:rFonts w:ascii="Corbel" w:hAnsi="Corbel"/>
        </w:rPr>
        <w:fldChar w:fldCharType="begin"/>
      </w:r>
      <w:r w:rsidR="00CB65B4" w:rsidRPr="00AA3CB0">
        <w:rPr>
          <w:rFonts w:ascii="Corbel" w:hAnsi="Corbel"/>
        </w:rPr>
        <w:instrText xml:space="preserve"> SEQ Tablica \* ARABIC </w:instrText>
      </w:r>
      <w:r w:rsidR="00CB65B4" w:rsidRPr="00AA3CB0">
        <w:rPr>
          <w:rFonts w:ascii="Corbel" w:hAnsi="Corbel"/>
        </w:rPr>
        <w:fldChar w:fldCharType="separate"/>
      </w:r>
      <w:r w:rsidR="00280AAE">
        <w:rPr>
          <w:rFonts w:ascii="Corbel" w:hAnsi="Corbel"/>
          <w:noProof/>
        </w:rPr>
        <w:t>5</w:t>
      </w:r>
      <w:r w:rsidR="00CB65B4" w:rsidRPr="00AA3CB0">
        <w:rPr>
          <w:rFonts w:ascii="Corbel" w:hAnsi="Corbel"/>
          <w:noProof/>
        </w:rPr>
        <w:fldChar w:fldCharType="end"/>
      </w:r>
      <w:r w:rsidRPr="00AA3CB0">
        <w:rPr>
          <w:rFonts w:ascii="Corbel" w:hAnsi="Corbel"/>
        </w:rPr>
        <w:t>: Osiguranici (broj zaposlenih) prema izabranim gradovima od 2001.-2011. godine</w:t>
      </w:r>
      <w:bookmarkEnd w:id="10"/>
    </w:p>
    <w:tbl>
      <w:tblPr>
        <w:tblW w:w="9272" w:type="dxa"/>
        <w:tblInd w:w="93" w:type="dxa"/>
        <w:tblLayout w:type="fixed"/>
        <w:tblLook w:val="04A0" w:firstRow="1" w:lastRow="0" w:firstColumn="1" w:lastColumn="0" w:noHBand="0" w:noVBand="1"/>
      </w:tblPr>
      <w:tblGrid>
        <w:gridCol w:w="2576"/>
        <w:gridCol w:w="1421"/>
        <w:gridCol w:w="1422"/>
        <w:gridCol w:w="1280"/>
        <w:gridCol w:w="1279"/>
        <w:gridCol w:w="1294"/>
      </w:tblGrid>
      <w:tr w:rsidR="00CF2EB2" w:rsidRPr="00AA3CB0" w:rsidTr="00A02648">
        <w:trPr>
          <w:trHeight w:val="221"/>
        </w:trPr>
        <w:tc>
          <w:tcPr>
            <w:tcW w:w="2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Godina</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Zadar</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Pula</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Rijeka</w:t>
            </w:r>
          </w:p>
        </w:tc>
        <w:tc>
          <w:tcPr>
            <w:tcW w:w="1279" w:type="dxa"/>
            <w:tcBorders>
              <w:top w:val="single" w:sz="4" w:space="0" w:color="auto"/>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Split</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Dubrovnik</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2001.</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27.669</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28.320</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66</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847</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71</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889</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17</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653</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2002.</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28.182</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28.540</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67</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827</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74</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340</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18</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007</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2003.</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28.274</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28.917</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68</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459</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76</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850</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18</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363</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2004.</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28.904</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29.848</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69</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270</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77</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951</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18</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300</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2005.</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29.690</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30</w:t>
            </w:r>
            <w:r w:rsidR="00E4029C"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817</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70</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326</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80</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547</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18</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937</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2006.</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30.769</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291</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70</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985</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81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705</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19</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243</w:t>
            </w:r>
          </w:p>
        </w:tc>
      </w:tr>
      <w:tr w:rsidR="00CF2EB2" w:rsidRPr="00AA3CB0" w:rsidTr="00A02648">
        <w:trPr>
          <w:trHeight w:val="231"/>
        </w:trPr>
        <w:tc>
          <w:tcPr>
            <w:tcW w:w="2576" w:type="dxa"/>
            <w:tcBorders>
              <w:top w:val="nil"/>
              <w:left w:val="single" w:sz="4" w:space="0" w:color="auto"/>
              <w:bottom w:val="sing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2007.</w:t>
            </w:r>
          </w:p>
        </w:tc>
        <w:tc>
          <w:tcPr>
            <w:tcW w:w="1421"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34.585</w:t>
            </w:r>
          </w:p>
        </w:tc>
        <w:tc>
          <w:tcPr>
            <w:tcW w:w="1422"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34</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079</w:t>
            </w:r>
          </w:p>
        </w:tc>
        <w:tc>
          <w:tcPr>
            <w:tcW w:w="1280"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72</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266</w:t>
            </w:r>
          </w:p>
        </w:tc>
        <w:tc>
          <w:tcPr>
            <w:tcW w:w="1279"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88</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228</w:t>
            </w:r>
          </w:p>
        </w:tc>
        <w:tc>
          <w:tcPr>
            <w:tcW w:w="1294" w:type="dxa"/>
            <w:tcBorders>
              <w:top w:val="nil"/>
              <w:left w:val="nil"/>
              <w:bottom w:val="sing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192</w:t>
            </w:r>
          </w:p>
        </w:tc>
      </w:tr>
      <w:tr w:rsidR="00CF2EB2" w:rsidRPr="00AA3CB0" w:rsidTr="00A02648">
        <w:trPr>
          <w:trHeight w:val="244"/>
        </w:trPr>
        <w:tc>
          <w:tcPr>
            <w:tcW w:w="2576" w:type="dxa"/>
            <w:tcBorders>
              <w:top w:val="nil"/>
              <w:left w:val="single" w:sz="4" w:space="0" w:color="auto"/>
              <w:bottom w:val="double" w:sz="4" w:space="0" w:color="auto"/>
              <w:right w:val="single" w:sz="4" w:space="0" w:color="auto"/>
            </w:tcBorders>
            <w:shd w:val="clear" w:color="auto" w:fill="auto"/>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2008.</w:t>
            </w:r>
          </w:p>
        </w:tc>
        <w:tc>
          <w:tcPr>
            <w:tcW w:w="1421" w:type="dxa"/>
            <w:tcBorders>
              <w:top w:val="nil"/>
              <w:left w:val="nil"/>
              <w:bottom w:val="doub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35.684</w:t>
            </w:r>
          </w:p>
        </w:tc>
        <w:tc>
          <w:tcPr>
            <w:tcW w:w="1422" w:type="dxa"/>
            <w:tcBorders>
              <w:top w:val="nil"/>
              <w:left w:val="nil"/>
              <w:bottom w:val="doub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34</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517</w:t>
            </w:r>
          </w:p>
        </w:tc>
        <w:tc>
          <w:tcPr>
            <w:tcW w:w="1280" w:type="dxa"/>
            <w:tcBorders>
              <w:top w:val="nil"/>
              <w:left w:val="nil"/>
              <w:bottom w:val="doub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73</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044</w:t>
            </w:r>
          </w:p>
        </w:tc>
        <w:tc>
          <w:tcPr>
            <w:tcW w:w="1279" w:type="dxa"/>
            <w:tcBorders>
              <w:top w:val="nil"/>
              <w:left w:val="nil"/>
              <w:bottom w:val="doub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90</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782</w:t>
            </w:r>
          </w:p>
        </w:tc>
        <w:tc>
          <w:tcPr>
            <w:tcW w:w="1294" w:type="dxa"/>
            <w:tcBorders>
              <w:top w:val="nil"/>
              <w:left w:val="nil"/>
              <w:bottom w:val="double" w:sz="4" w:space="0" w:color="auto"/>
              <w:right w:val="single" w:sz="4" w:space="0" w:color="auto"/>
            </w:tcBorders>
            <w:shd w:val="clear" w:color="auto" w:fill="auto"/>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22</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079</w:t>
            </w:r>
          </w:p>
        </w:tc>
      </w:tr>
      <w:tr w:rsidR="00CF2EB2" w:rsidRPr="00AA3CB0" w:rsidTr="00A02648">
        <w:trPr>
          <w:trHeight w:val="231"/>
        </w:trPr>
        <w:tc>
          <w:tcPr>
            <w:tcW w:w="2576" w:type="dxa"/>
            <w:tcBorders>
              <w:top w:val="double" w:sz="4" w:space="0" w:color="auto"/>
              <w:left w:val="single" w:sz="8" w:space="0" w:color="auto"/>
              <w:bottom w:val="single" w:sz="4" w:space="0" w:color="auto"/>
              <w:right w:val="single" w:sz="4" w:space="0" w:color="auto"/>
            </w:tcBorders>
            <w:shd w:val="clear" w:color="000000" w:fill="D9D9D9"/>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2009.</w:t>
            </w:r>
          </w:p>
        </w:tc>
        <w:tc>
          <w:tcPr>
            <w:tcW w:w="1421" w:type="dxa"/>
            <w:tcBorders>
              <w:top w:val="doub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34.737</w:t>
            </w:r>
          </w:p>
        </w:tc>
        <w:tc>
          <w:tcPr>
            <w:tcW w:w="1422" w:type="dxa"/>
            <w:tcBorders>
              <w:top w:val="doub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33</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159</w:t>
            </w:r>
          </w:p>
        </w:tc>
        <w:tc>
          <w:tcPr>
            <w:tcW w:w="1280" w:type="dxa"/>
            <w:tcBorders>
              <w:top w:val="doub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69</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869</w:t>
            </w:r>
          </w:p>
        </w:tc>
        <w:tc>
          <w:tcPr>
            <w:tcW w:w="1279" w:type="dxa"/>
            <w:tcBorders>
              <w:top w:val="doub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87</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852</w:t>
            </w:r>
          </w:p>
        </w:tc>
        <w:tc>
          <w:tcPr>
            <w:tcW w:w="1294" w:type="dxa"/>
            <w:tcBorders>
              <w:top w:val="double" w:sz="4" w:space="0" w:color="auto"/>
              <w:left w:val="nil"/>
              <w:bottom w:val="single" w:sz="4" w:space="0" w:color="auto"/>
              <w:right w:val="single" w:sz="8"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538</w:t>
            </w:r>
          </w:p>
        </w:tc>
      </w:tr>
      <w:tr w:rsidR="00CF2EB2" w:rsidRPr="00AA3CB0" w:rsidTr="00A02648">
        <w:trPr>
          <w:trHeight w:val="231"/>
        </w:trPr>
        <w:tc>
          <w:tcPr>
            <w:tcW w:w="2576" w:type="dxa"/>
            <w:tcBorders>
              <w:top w:val="single" w:sz="4" w:space="0" w:color="auto"/>
              <w:left w:val="single" w:sz="8" w:space="0" w:color="auto"/>
              <w:bottom w:val="single" w:sz="4" w:space="0" w:color="auto"/>
              <w:right w:val="single" w:sz="4" w:space="0" w:color="auto"/>
            </w:tcBorders>
            <w:shd w:val="clear" w:color="000000" w:fill="D9D9D9"/>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2010.</w:t>
            </w:r>
          </w:p>
        </w:tc>
        <w:tc>
          <w:tcPr>
            <w:tcW w:w="1421" w:type="dxa"/>
            <w:tcBorders>
              <w:top w:val="sing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33.679</w:t>
            </w:r>
          </w:p>
        </w:tc>
        <w:tc>
          <w:tcPr>
            <w:tcW w:w="1422" w:type="dxa"/>
            <w:tcBorders>
              <w:top w:val="sing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780</w:t>
            </w:r>
          </w:p>
        </w:tc>
        <w:tc>
          <w:tcPr>
            <w:tcW w:w="1280" w:type="dxa"/>
            <w:tcBorders>
              <w:top w:val="sing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66</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920</w:t>
            </w:r>
          </w:p>
        </w:tc>
        <w:tc>
          <w:tcPr>
            <w:tcW w:w="1279" w:type="dxa"/>
            <w:tcBorders>
              <w:top w:val="sing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85</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600</w:t>
            </w:r>
          </w:p>
        </w:tc>
        <w:tc>
          <w:tcPr>
            <w:tcW w:w="1294" w:type="dxa"/>
            <w:tcBorders>
              <w:top w:val="single" w:sz="4" w:space="0" w:color="auto"/>
              <w:left w:val="nil"/>
              <w:bottom w:val="single" w:sz="4" w:space="0" w:color="auto"/>
              <w:right w:val="single" w:sz="8"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21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040</w:t>
            </w:r>
          </w:p>
        </w:tc>
      </w:tr>
      <w:tr w:rsidR="00CF2EB2" w:rsidRPr="00AA3CB0" w:rsidTr="00A02648">
        <w:trPr>
          <w:trHeight w:val="244"/>
        </w:trPr>
        <w:tc>
          <w:tcPr>
            <w:tcW w:w="2576" w:type="dxa"/>
            <w:tcBorders>
              <w:top w:val="single" w:sz="4" w:space="0" w:color="auto"/>
              <w:left w:val="single" w:sz="8" w:space="0" w:color="auto"/>
              <w:bottom w:val="single" w:sz="4" w:space="0" w:color="auto"/>
              <w:right w:val="single" w:sz="4" w:space="0" w:color="auto"/>
            </w:tcBorders>
            <w:shd w:val="clear" w:color="000000" w:fill="D9D9D9"/>
            <w:noWrap/>
            <w:vAlign w:val="bottom"/>
            <w:hideMark/>
          </w:tcPr>
          <w:p w:rsidR="00CF2EB2" w:rsidRPr="00AA3CB0" w:rsidRDefault="00CF2EB2"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2011.</w:t>
            </w:r>
          </w:p>
        </w:tc>
        <w:tc>
          <w:tcPr>
            <w:tcW w:w="1421" w:type="dxa"/>
            <w:tcBorders>
              <w:top w:val="sing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33.579</w:t>
            </w:r>
          </w:p>
        </w:tc>
        <w:tc>
          <w:tcPr>
            <w:tcW w:w="1422" w:type="dxa"/>
            <w:tcBorders>
              <w:top w:val="single" w:sz="4" w:space="0" w:color="auto"/>
              <w:left w:val="nil"/>
              <w:bottom w:val="single" w:sz="4" w:space="0" w:color="auto"/>
              <w:right w:val="single" w:sz="4" w:space="0" w:color="auto"/>
            </w:tcBorders>
            <w:shd w:val="clear" w:color="000000" w:fill="D9D9D9"/>
            <w:vAlign w:val="center"/>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noProof/>
                <w:color w:val="000000"/>
                <w:sz w:val="20"/>
                <w:szCs w:val="20"/>
                <w:lang w:eastAsia="hr-HR"/>
              </w:rPr>
              <w:t>31</w:t>
            </w:r>
            <w:r w:rsidR="009E6114" w:rsidRPr="00AA3CB0">
              <w:rPr>
                <w:rFonts w:ascii="Corbel" w:eastAsia="Times New Roman" w:hAnsi="Corbel" w:cs="Times New Roman"/>
                <w:bCs/>
                <w:noProof/>
                <w:color w:val="000000"/>
                <w:sz w:val="20"/>
                <w:szCs w:val="20"/>
                <w:lang w:eastAsia="hr-HR"/>
              </w:rPr>
              <w:t>.</w:t>
            </w:r>
            <w:r w:rsidRPr="00AA3CB0">
              <w:rPr>
                <w:rFonts w:ascii="Corbel" w:eastAsia="Times New Roman" w:hAnsi="Corbel" w:cs="Times New Roman"/>
                <w:bCs/>
                <w:noProof/>
                <w:color w:val="000000"/>
                <w:sz w:val="20"/>
                <w:szCs w:val="20"/>
                <w:lang w:eastAsia="hr-HR"/>
              </w:rPr>
              <w:t>884</w:t>
            </w:r>
          </w:p>
        </w:tc>
        <w:tc>
          <w:tcPr>
            <w:tcW w:w="1280" w:type="dxa"/>
            <w:tcBorders>
              <w:top w:val="single" w:sz="4" w:space="0" w:color="auto"/>
              <w:left w:val="nil"/>
              <w:bottom w:val="single" w:sz="4" w:space="0" w:color="auto"/>
              <w:right w:val="single" w:sz="4" w:space="0" w:color="auto"/>
            </w:tcBorders>
            <w:shd w:val="clear" w:color="000000" w:fill="D9D9D9"/>
            <w:noWrap/>
            <w:vAlign w:val="bottom"/>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66</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126</w:t>
            </w:r>
          </w:p>
        </w:tc>
        <w:tc>
          <w:tcPr>
            <w:tcW w:w="1279" w:type="dxa"/>
            <w:tcBorders>
              <w:top w:val="single" w:sz="4" w:space="0" w:color="auto"/>
              <w:left w:val="nil"/>
              <w:bottom w:val="single" w:sz="4" w:space="0" w:color="auto"/>
              <w:right w:val="single" w:sz="4" w:space="0" w:color="auto"/>
            </w:tcBorders>
            <w:shd w:val="clear" w:color="000000" w:fill="D9D9D9"/>
            <w:noWrap/>
            <w:vAlign w:val="bottom"/>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85</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162</w:t>
            </w:r>
          </w:p>
        </w:tc>
        <w:tc>
          <w:tcPr>
            <w:tcW w:w="1294" w:type="dxa"/>
            <w:tcBorders>
              <w:top w:val="single" w:sz="4" w:space="0" w:color="auto"/>
              <w:left w:val="nil"/>
              <w:bottom w:val="single" w:sz="4" w:space="0" w:color="auto"/>
              <w:right w:val="single" w:sz="8" w:space="0" w:color="auto"/>
            </w:tcBorders>
            <w:shd w:val="clear" w:color="000000" w:fill="D9D9D9"/>
            <w:noWrap/>
            <w:vAlign w:val="bottom"/>
            <w:hideMark/>
          </w:tcPr>
          <w:p w:rsidR="00CF2EB2" w:rsidRPr="00AA3CB0" w:rsidRDefault="00CF2EB2" w:rsidP="00AA3CB0">
            <w:pPr>
              <w:spacing w:after="0" w:line="240" w:lineRule="auto"/>
              <w:jc w:val="right"/>
              <w:rPr>
                <w:rFonts w:ascii="Corbel" w:eastAsia="Times New Roman" w:hAnsi="Corbel" w:cs="Times New Roman"/>
                <w:bCs/>
                <w:color w:val="000000"/>
                <w:sz w:val="20"/>
                <w:szCs w:val="20"/>
                <w:lang w:eastAsia="hr-HR"/>
              </w:rPr>
            </w:pPr>
            <w:r w:rsidRPr="00AA3CB0">
              <w:rPr>
                <w:rFonts w:ascii="Corbel" w:eastAsia="Times New Roman" w:hAnsi="Corbel" w:cs="Times New Roman"/>
                <w:bCs/>
                <w:color w:val="000000"/>
                <w:sz w:val="20"/>
                <w:szCs w:val="20"/>
                <w:lang w:eastAsia="hr-HR"/>
              </w:rPr>
              <w:t>21</w:t>
            </w:r>
            <w:r w:rsidR="009E6114" w:rsidRPr="00AA3CB0">
              <w:rPr>
                <w:rFonts w:ascii="Corbel" w:eastAsia="Times New Roman" w:hAnsi="Corbel" w:cs="Times New Roman"/>
                <w:bCs/>
                <w:color w:val="000000"/>
                <w:sz w:val="20"/>
                <w:szCs w:val="20"/>
                <w:lang w:eastAsia="hr-HR"/>
              </w:rPr>
              <w:t>.</w:t>
            </w:r>
            <w:r w:rsidRPr="00AA3CB0">
              <w:rPr>
                <w:rFonts w:ascii="Corbel" w:eastAsia="Times New Roman" w:hAnsi="Corbel" w:cs="Times New Roman"/>
                <w:bCs/>
                <w:color w:val="000000"/>
                <w:sz w:val="20"/>
                <w:szCs w:val="20"/>
                <w:lang w:eastAsia="hr-HR"/>
              </w:rPr>
              <w:t>422</w:t>
            </w:r>
          </w:p>
        </w:tc>
      </w:tr>
      <w:tr w:rsidR="00CF2EB2" w:rsidRPr="00AA3CB0" w:rsidTr="00A02648">
        <w:trPr>
          <w:trHeight w:val="261"/>
        </w:trPr>
        <w:tc>
          <w:tcPr>
            <w:tcW w:w="25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F2EB2" w:rsidRPr="00AA3CB0" w:rsidRDefault="00CF2EB2" w:rsidP="00AA3CB0">
            <w:pPr>
              <w:spacing w:after="0" w:line="240" w:lineRule="auto"/>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Prosječna godišnja stopa rasta 2001-2008</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00CC00"/>
                <w:sz w:val="20"/>
                <w:szCs w:val="20"/>
                <w:lang w:eastAsia="hr-HR"/>
              </w:rPr>
            </w:pPr>
            <w:r w:rsidRPr="00AA3CB0">
              <w:rPr>
                <w:rFonts w:ascii="Corbel" w:eastAsia="Times New Roman" w:hAnsi="Corbel" w:cs="Times New Roman"/>
                <w:b/>
                <w:color w:val="00CC00"/>
                <w:sz w:val="20"/>
                <w:szCs w:val="20"/>
                <w:lang w:eastAsia="hr-HR"/>
              </w:rPr>
              <w:t>4,14</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00CC00"/>
                <w:sz w:val="20"/>
                <w:szCs w:val="20"/>
                <w:lang w:eastAsia="hr-HR"/>
              </w:rPr>
            </w:pPr>
            <w:r w:rsidRPr="00AA3CB0">
              <w:rPr>
                <w:rFonts w:ascii="Corbel" w:eastAsia="Times New Roman" w:hAnsi="Corbel" w:cs="Times New Roman"/>
                <w:b/>
                <w:color w:val="00CC00"/>
                <w:sz w:val="20"/>
                <w:szCs w:val="20"/>
                <w:lang w:eastAsia="hr-HR"/>
              </w:rPr>
              <w:t>3,13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00CC00"/>
                <w:sz w:val="20"/>
                <w:szCs w:val="20"/>
                <w:lang w:eastAsia="hr-HR"/>
              </w:rPr>
            </w:pPr>
            <w:r w:rsidRPr="00AA3CB0">
              <w:rPr>
                <w:rFonts w:ascii="Corbel" w:eastAsia="Times New Roman" w:hAnsi="Corbel" w:cs="Times New Roman"/>
                <w:b/>
                <w:color w:val="00CC00"/>
                <w:sz w:val="20"/>
                <w:szCs w:val="20"/>
                <w:lang w:eastAsia="hr-HR"/>
              </w:rPr>
              <w:t>1,32</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00CC00"/>
                <w:sz w:val="20"/>
                <w:szCs w:val="20"/>
                <w:lang w:eastAsia="hr-HR"/>
              </w:rPr>
            </w:pPr>
            <w:r w:rsidRPr="00AA3CB0">
              <w:rPr>
                <w:rFonts w:ascii="Corbel" w:eastAsia="Times New Roman" w:hAnsi="Corbel" w:cs="Times New Roman"/>
                <w:b/>
                <w:color w:val="00CC00"/>
                <w:sz w:val="20"/>
                <w:szCs w:val="20"/>
                <w:lang w:eastAsia="hr-HR"/>
              </w:rPr>
              <w:t>3,75</w:t>
            </w:r>
          </w:p>
        </w:tc>
        <w:tc>
          <w:tcPr>
            <w:tcW w:w="1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00CC00"/>
                <w:sz w:val="20"/>
                <w:szCs w:val="20"/>
                <w:lang w:eastAsia="hr-HR"/>
              </w:rPr>
            </w:pPr>
            <w:r w:rsidRPr="00AA3CB0">
              <w:rPr>
                <w:rFonts w:ascii="Corbel" w:eastAsia="Times New Roman" w:hAnsi="Corbel" w:cs="Times New Roman"/>
                <w:b/>
                <w:color w:val="00CC00"/>
                <w:sz w:val="20"/>
                <w:szCs w:val="20"/>
                <w:lang w:eastAsia="hr-HR"/>
              </w:rPr>
              <w:t>3,58</w:t>
            </w:r>
          </w:p>
        </w:tc>
      </w:tr>
      <w:tr w:rsidR="00CF2EB2" w:rsidRPr="00AA3CB0" w:rsidTr="00A02648">
        <w:trPr>
          <w:trHeight w:val="230"/>
        </w:trPr>
        <w:tc>
          <w:tcPr>
            <w:tcW w:w="257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F2EB2" w:rsidRPr="00AA3CB0" w:rsidRDefault="00CF2EB2" w:rsidP="00AA3CB0">
            <w:pPr>
              <w:spacing w:after="0" w:line="240" w:lineRule="auto"/>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Prosječna godišnja stopa rasta 2008-2011</w:t>
            </w:r>
          </w:p>
        </w:tc>
        <w:tc>
          <w:tcPr>
            <w:tcW w:w="1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-1,97</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-2,54</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-3,16</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-2,06</w:t>
            </w:r>
          </w:p>
        </w:tc>
        <w:tc>
          <w:tcPr>
            <w:tcW w:w="1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2EB2" w:rsidRPr="00AA3CB0" w:rsidRDefault="00CF2EB2"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-0,99</w:t>
            </w:r>
          </w:p>
        </w:tc>
      </w:tr>
    </w:tbl>
    <w:p w:rsidR="008B5DFD" w:rsidRPr="00AA3CB0" w:rsidRDefault="008B5DFD" w:rsidP="00AA3CB0">
      <w:pPr>
        <w:spacing w:line="240" w:lineRule="auto"/>
        <w:rPr>
          <w:rFonts w:ascii="Corbel" w:hAnsi="Corbel" w:cs="Times New Roman"/>
          <w:sz w:val="20"/>
        </w:rPr>
      </w:pPr>
      <w:r w:rsidRPr="00AA3CB0">
        <w:rPr>
          <w:rFonts w:ascii="Corbel" w:hAnsi="Corbel" w:cs="Times New Roman"/>
          <w:sz w:val="20"/>
        </w:rPr>
        <w:t>Izvor: HZMO, Statističke informacije, po godinama; obrada: ZADRA</w:t>
      </w:r>
    </w:p>
    <w:p w:rsidR="00F73294" w:rsidRPr="00B37C59" w:rsidRDefault="009F4C9F" w:rsidP="00B37C59">
      <w:pPr>
        <w:pStyle w:val="Naslov3"/>
      </w:pPr>
      <w:bookmarkStart w:id="11" w:name="_Toc351539731"/>
      <w:r w:rsidRPr="00B37C59">
        <w:lastRenderedPageBreak/>
        <w:t xml:space="preserve">1.1.2. </w:t>
      </w:r>
      <w:r w:rsidR="00F73294" w:rsidRPr="00B37C59">
        <w:t>Nezaposlenost</w:t>
      </w:r>
      <w:r w:rsidR="002E34E3" w:rsidRPr="00B37C59">
        <w:rPr>
          <w:vertAlign w:val="superscript"/>
        </w:rPr>
        <w:footnoteReference w:id="2"/>
      </w:r>
      <w:bookmarkEnd w:id="11"/>
    </w:p>
    <w:p w:rsidR="00C952A0" w:rsidRPr="00FB2B17" w:rsidRDefault="007D78A7" w:rsidP="00AA3CB0">
      <w:pPr>
        <w:spacing w:line="240" w:lineRule="auto"/>
        <w:jc w:val="both"/>
        <w:rPr>
          <w:rFonts w:ascii="Corbel" w:hAnsi="Corbel" w:cs="Times New Roman"/>
        </w:rPr>
      </w:pPr>
      <w:r w:rsidRPr="00FB2B17">
        <w:rPr>
          <w:rFonts w:ascii="Corbel" w:hAnsi="Corbel" w:cs="Times New Roman"/>
        </w:rPr>
        <w:t>Nadalje, nisu u svim gradovima situacije</w:t>
      </w:r>
      <w:r w:rsidR="004642AC" w:rsidRPr="00FB2B17">
        <w:rPr>
          <w:rFonts w:ascii="Corbel" w:hAnsi="Corbel" w:cs="Times New Roman"/>
        </w:rPr>
        <w:t xml:space="preserve"> na tržištu rada</w:t>
      </w:r>
      <w:r w:rsidRPr="00FB2B17">
        <w:rPr>
          <w:rFonts w:ascii="Corbel" w:hAnsi="Corbel" w:cs="Times New Roman"/>
        </w:rPr>
        <w:t xml:space="preserve"> iste. Tako treba obrati pažnju i na dostupnost radne snage, tj. na ukupan broj zaposlenih i nezaposlenih u promatranom vremenu. Primjerice Pula ima nisku stopu nezaposlenosti kroz </w:t>
      </w:r>
      <w:r w:rsidR="004F6756" w:rsidRPr="00FB2B17">
        <w:rPr>
          <w:rFonts w:ascii="Corbel" w:hAnsi="Corbel" w:cs="Times New Roman"/>
        </w:rPr>
        <w:t>cijelo</w:t>
      </w:r>
      <w:r w:rsidRPr="00FB2B17">
        <w:rPr>
          <w:rFonts w:ascii="Corbel" w:hAnsi="Corbel" w:cs="Times New Roman"/>
        </w:rPr>
        <w:t xml:space="preserve"> razdoblje što znači da gospodarstvo</w:t>
      </w:r>
      <w:r w:rsidR="006C2E69" w:rsidRPr="00FB2B17">
        <w:rPr>
          <w:rFonts w:ascii="Corbel" w:hAnsi="Corbel" w:cs="Times New Roman"/>
        </w:rPr>
        <w:t xml:space="preserve"> u vremenu prosperiteta</w:t>
      </w:r>
      <w:r w:rsidRPr="00FB2B17">
        <w:rPr>
          <w:rFonts w:ascii="Corbel" w:hAnsi="Corbel" w:cs="Times New Roman"/>
        </w:rPr>
        <w:t xml:space="preserve"> </w:t>
      </w:r>
      <w:r w:rsidR="004F6756" w:rsidRPr="00FB2B17">
        <w:rPr>
          <w:rFonts w:ascii="Corbel" w:hAnsi="Corbel" w:cs="Times New Roman"/>
        </w:rPr>
        <w:t>uspijeva</w:t>
      </w:r>
      <w:r w:rsidRPr="00FB2B17">
        <w:rPr>
          <w:rFonts w:ascii="Corbel" w:hAnsi="Corbel" w:cs="Times New Roman"/>
        </w:rPr>
        <w:t xml:space="preserve"> zaposliti većinu ljudi dostupnih na</w:t>
      </w:r>
      <w:r w:rsidR="006C2E69" w:rsidRPr="00FB2B17">
        <w:rPr>
          <w:rFonts w:ascii="Corbel" w:hAnsi="Corbel" w:cs="Times New Roman"/>
        </w:rPr>
        <w:t xml:space="preserve"> lokalnom</w:t>
      </w:r>
      <w:r w:rsidRPr="00FB2B17">
        <w:rPr>
          <w:rFonts w:ascii="Corbel" w:hAnsi="Corbel" w:cs="Times New Roman"/>
        </w:rPr>
        <w:t xml:space="preserve"> tržištu rada.</w:t>
      </w:r>
      <w:r w:rsidR="00237934" w:rsidRPr="00FB2B17">
        <w:rPr>
          <w:rFonts w:ascii="Corbel" w:hAnsi="Corbel" w:cs="Times New Roman"/>
        </w:rPr>
        <w:t xml:space="preserve"> Pula i Zadar imaju prilično sličan broj zaposlenih (u apsolutnom iznosu) </w:t>
      </w:r>
      <w:r w:rsidR="00747F8F" w:rsidRPr="00FB2B17">
        <w:rPr>
          <w:rFonts w:ascii="Corbel" w:hAnsi="Corbel" w:cs="Times New Roman"/>
        </w:rPr>
        <w:t xml:space="preserve">iako je Pula nešto manja od Zadra prema broju stanovnika, a kako je </w:t>
      </w:r>
      <w:r w:rsidR="00237934" w:rsidRPr="00FB2B17">
        <w:rPr>
          <w:rFonts w:ascii="Corbel" w:hAnsi="Corbel" w:cs="Times New Roman"/>
        </w:rPr>
        <w:t>broj nezaposlenih manji u Puli, stopa nezaposlenosti u Puli</w:t>
      </w:r>
      <w:r w:rsidR="00747F8F" w:rsidRPr="00FB2B17">
        <w:rPr>
          <w:rFonts w:ascii="Corbel" w:hAnsi="Corbel" w:cs="Times New Roman"/>
        </w:rPr>
        <w:t xml:space="preserve"> je</w:t>
      </w:r>
      <w:r w:rsidR="00237934" w:rsidRPr="00FB2B17">
        <w:rPr>
          <w:rFonts w:ascii="Corbel" w:hAnsi="Corbel" w:cs="Times New Roman"/>
        </w:rPr>
        <w:t xml:space="preserve"> kontinuirano ispod 10% </w:t>
      </w:r>
      <w:r w:rsidR="006A1EA7" w:rsidRPr="00FB2B17">
        <w:rPr>
          <w:rFonts w:ascii="Corbel" w:hAnsi="Corbel" w:cs="Times New Roman"/>
        </w:rPr>
        <w:t xml:space="preserve"> što nije slučaj kod Zadra.</w:t>
      </w:r>
      <w:r w:rsidR="005B113A" w:rsidRPr="00FB2B17">
        <w:rPr>
          <w:rFonts w:ascii="Corbel" w:hAnsi="Corbel" w:cs="Times New Roman"/>
        </w:rPr>
        <w:t xml:space="preserve"> </w:t>
      </w:r>
      <w:r w:rsidR="005A7B8E" w:rsidRPr="00FB2B17">
        <w:rPr>
          <w:rFonts w:ascii="Corbel" w:hAnsi="Corbel" w:cs="Times New Roman"/>
        </w:rPr>
        <w:t>Razlozi</w:t>
      </w:r>
      <w:r w:rsidR="003C3695" w:rsidRPr="00FB2B17">
        <w:rPr>
          <w:rFonts w:ascii="Corbel" w:hAnsi="Corbel" w:cs="Times New Roman"/>
        </w:rPr>
        <w:t xml:space="preserve"> tome</w:t>
      </w:r>
      <w:r w:rsidR="005A7B8E" w:rsidRPr="00FB2B17">
        <w:rPr>
          <w:rFonts w:ascii="Corbel" w:hAnsi="Corbel" w:cs="Times New Roman"/>
        </w:rPr>
        <w:t xml:space="preserve"> mogu se tražiti u veličini</w:t>
      </w:r>
      <w:r w:rsidR="00B94823" w:rsidRPr="00FB2B17">
        <w:rPr>
          <w:rFonts w:ascii="Corbel" w:hAnsi="Corbel" w:cs="Times New Roman"/>
        </w:rPr>
        <w:t xml:space="preserve"> dostupne</w:t>
      </w:r>
      <w:r w:rsidR="003C3695" w:rsidRPr="00FB2B17">
        <w:rPr>
          <w:rFonts w:ascii="Corbel" w:hAnsi="Corbel" w:cs="Times New Roman"/>
        </w:rPr>
        <w:t xml:space="preserve"> radne snage u ukupnom stano</w:t>
      </w:r>
      <w:r w:rsidR="00B94823" w:rsidRPr="00FB2B17">
        <w:rPr>
          <w:rFonts w:ascii="Corbel" w:hAnsi="Corbel" w:cs="Times New Roman"/>
        </w:rPr>
        <w:t>vništvu, stru</w:t>
      </w:r>
      <w:r w:rsidR="00C952A0" w:rsidRPr="00FB2B17">
        <w:rPr>
          <w:rFonts w:ascii="Corbel" w:hAnsi="Corbel" w:cs="Times New Roman"/>
        </w:rPr>
        <w:t>kturi gospodarstva i demografskoj strukturi</w:t>
      </w:r>
      <w:r w:rsidR="00B94823" w:rsidRPr="00FB2B17">
        <w:rPr>
          <w:rFonts w:ascii="Corbel" w:hAnsi="Corbel" w:cs="Times New Roman"/>
        </w:rPr>
        <w:t xml:space="preserve"> stanovništva</w:t>
      </w:r>
      <w:r w:rsidR="00C952A0" w:rsidRPr="00FB2B17">
        <w:rPr>
          <w:rFonts w:ascii="Corbel" w:hAnsi="Corbel" w:cs="Times New Roman"/>
        </w:rPr>
        <w:t xml:space="preserve"> gradova.</w:t>
      </w:r>
    </w:p>
    <w:p w:rsidR="00C952A0" w:rsidRPr="00AA3CB0" w:rsidRDefault="00C952A0" w:rsidP="00AA3CB0">
      <w:pPr>
        <w:pStyle w:val="Opisslike"/>
        <w:keepNext/>
        <w:rPr>
          <w:rFonts w:ascii="Corbel" w:hAnsi="Corbel"/>
        </w:rPr>
      </w:pPr>
      <w:bookmarkStart w:id="12" w:name="_Toc351538411"/>
      <w:r w:rsidRPr="00AA3CB0">
        <w:rPr>
          <w:rFonts w:ascii="Corbel" w:hAnsi="Corbel"/>
        </w:rPr>
        <w:t xml:space="preserve">Tablica </w:t>
      </w:r>
      <w:r w:rsidR="00CB65B4" w:rsidRPr="00AA3CB0">
        <w:rPr>
          <w:rFonts w:ascii="Corbel" w:hAnsi="Corbel"/>
        </w:rPr>
        <w:fldChar w:fldCharType="begin"/>
      </w:r>
      <w:r w:rsidR="00CB65B4" w:rsidRPr="00AA3CB0">
        <w:rPr>
          <w:rFonts w:ascii="Corbel" w:hAnsi="Corbel"/>
        </w:rPr>
        <w:instrText xml:space="preserve"> SEQ Tablica \* ARABIC </w:instrText>
      </w:r>
      <w:r w:rsidR="00CB65B4" w:rsidRPr="00AA3CB0">
        <w:rPr>
          <w:rFonts w:ascii="Corbel" w:hAnsi="Corbel"/>
        </w:rPr>
        <w:fldChar w:fldCharType="separate"/>
      </w:r>
      <w:r w:rsidR="00280AAE">
        <w:rPr>
          <w:rFonts w:ascii="Corbel" w:hAnsi="Corbel"/>
          <w:noProof/>
        </w:rPr>
        <w:t>6</w:t>
      </w:r>
      <w:r w:rsidR="00CB65B4" w:rsidRPr="00AA3CB0">
        <w:rPr>
          <w:rFonts w:ascii="Corbel" w:hAnsi="Corbel"/>
          <w:noProof/>
        </w:rPr>
        <w:fldChar w:fldCharType="end"/>
      </w:r>
      <w:r w:rsidRPr="00AA3CB0">
        <w:rPr>
          <w:rFonts w:ascii="Corbel" w:hAnsi="Corbel"/>
        </w:rPr>
        <w:t xml:space="preserve">.:  </w:t>
      </w:r>
      <w:r w:rsidR="00AB267C" w:rsidRPr="00AA3CB0">
        <w:rPr>
          <w:rFonts w:ascii="Corbel" w:hAnsi="Corbel"/>
        </w:rPr>
        <w:t>Broj nezaposlenih</w:t>
      </w:r>
      <w:r w:rsidRPr="00AA3CB0">
        <w:rPr>
          <w:rFonts w:ascii="Corbel" w:hAnsi="Corbel"/>
        </w:rPr>
        <w:t xml:space="preserve"> u izabranim gradovima prema podacima HZZ-a na dan 31.12.</w:t>
      </w:r>
      <w:bookmarkEnd w:id="12"/>
    </w:p>
    <w:tbl>
      <w:tblPr>
        <w:tblW w:w="9066" w:type="dxa"/>
        <w:tblInd w:w="93" w:type="dxa"/>
        <w:tblLayout w:type="fixed"/>
        <w:tblLook w:val="04A0" w:firstRow="1" w:lastRow="0" w:firstColumn="1" w:lastColumn="0" w:noHBand="0" w:noVBand="1"/>
      </w:tblPr>
      <w:tblGrid>
        <w:gridCol w:w="2551"/>
        <w:gridCol w:w="1303"/>
        <w:gridCol w:w="1303"/>
        <w:gridCol w:w="1303"/>
        <w:gridCol w:w="1303"/>
        <w:gridCol w:w="1303"/>
      </w:tblGrid>
      <w:tr w:rsidR="00D155A3" w:rsidRPr="00AA3CB0" w:rsidTr="00D155A3">
        <w:trPr>
          <w:trHeight w:val="251"/>
        </w:trPr>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5A3" w:rsidRPr="00AA3CB0" w:rsidRDefault="00D155A3"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Godina</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D155A3" w:rsidRPr="00AA3CB0" w:rsidRDefault="00D155A3"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Zadar</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D155A3" w:rsidRPr="00AA3CB0" w:rsidRDefault="00D155A3"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 xml:space="preserve"> Pula</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D155A3" w:rsidRPr="00AA3CB0" w:rsidRDefault="00D155A3"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Rijeka</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D155A3" w:rsidRPr="00AA3CB0" w:rsidRDefault="00D155A3"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Split</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D155A3" w:rsidRPr="00AA3CB0" w:rsidRDefault="00D155A3" w:rsidP="00AA3CB0">
            <w:pPr>
              <w:spacing w:after="0" w:line="240" w:lineRule="auto"/>
              <w:jc w:val="center"/>
              <w:rPr>
                <w:rFonts w:ascii="Corbel" w:eastAsia="Times New Roman" w:hAnsi="Corbel" w:cs="Times New Roman"/>
                <w:b/>
                <w:bCs/>
                <w:color w:val="000000"/>
                <w:sz w:val="20"/>
                <w:szCs w:val="20"/>
                <w:lang w:eastAsia="hr-HR"/>
              </w:rPr>
            </w:pPr>
            <w:r w:rsidRPr="00AA3CB0">
              <w:rPr>
                <w:rFonts w:ascii="Corbel" w:eastAsia="Times New Roman" w:hAnsi="Corbel" w:cs="Times New Roman"/>
                <w:b/>
                <w:bCs/>
                <w:color w:val="000000"/>
                <w:sz w:val="20"/>
                <w:szCs w:val="20"/>
                <w:lang w:eastAsia="hr-HR"/>
              </w:rPr>
              <w:t>Dubrovnik</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2001.</w:t>
            </w:r>
          </w:p>
        </w:tc>
        <w:tc>
          <w:tcPr>
            <w:tcW w:w="1303" w:type="dxa"/>
            <w:tcBorders>
              <w:top w:val="nil"/>
              <w:left w:val="nil"/>
              <w:bottom w:val="single" w:sz="4" w:space="0" w:color="auto"/>
              <w:right w:val="single" w:sz="4" w:space="0" w:color="auto"/>
            </w:tcBorders>
            <w:shd w:val="clear" w:color="auto" w:fill="auto"/>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7.074</w:t>
            </w:r>
          </w:p>
        </w:tc>
        <w:tc>
          <w:tcPr>
            <w:tcW w:w="1303" w:type="dxa"/>
            <w:tcBorders>
              <w:top w:val="nil"/>
              <w:left w:val="nil"/>
              <w:bottom w:val="single" w:sz="4" w:space="0" w:color="auto"/>
              <w:right w:val="single" w:sz="4" w:space="0" w:color="auto"/>
            </w:tcBorders>
            <w:shd w:val="clear" w:color="auto" w:fill="auto"/>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3.769</w:t>
            </w:r>
          </w:p>
        </w:tc>
        <w:tc>
          <w:tcPr>
            <w:tcW w:w="1303" w:type="dxa"/>
            <w:tcBorders>
              <w:top w:val="nil"/>
              <w:left w:val="nil"/>
              <w:bottom w:val="single" w:sz="4" w:space="0" w:color="auto"/>
              <w:right w:val="single" w:sz="4" w:space="0" w:color="auto"/>
            </w:tcBorders>
            <w:shd w:val="clear" w:color="auto" w:fill="auto"/>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12.439</w:t>
            </w:r>
          </w:p>
        </w:tc>
        <w:tc>
          <w:tcPr>
            <w:tcW w:w="1303" w:type="dxa"/>
            <w:tcBorders>
              <w:top w:val="nil"/>
              <w:left w:val="nil"/>
              <w:bottom w:val="single" w:sz="4" w:space="0" w:color="auto"/>
              <w:right w:val="single" w:sz="4" w:space="0" w:color="auto"/>
            </w:tcBorders>
            <w:shd w:val="clear" w:color="auto" w:fill="auto"/>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21.383</w:t>
            </w:r>
          </w:p>
        </w:tc>
        <w:tc>
          <w:tcPr>
            <w:tcW w:w="1303" w:type="dxa"/>
            <w:tcBorders>
              <w:top w:val="nil"/>
              <w:left w:val="nil"/>
              <w:bottom w:val="single" w:sz="4" w:space="0" w:color="auto"/>
              <w:right w:val="single" w:sz="4" w:space="0" w:color="auto"/>
            </w:tcBorders>
            <w:shd w:val="clear" w:color="auto" w:fill="auto"/>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4.342</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2002.</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7.043</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2.740</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10.895</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19.868</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3.623</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2003.</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5.571</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2.155</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9.641</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17.966</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2.911</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2004.</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5.552</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2.397</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9.376</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17.487</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2.692</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2005.</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4.982</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2.282</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8.928</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16.545</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2.489</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2006.</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5.068</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2.210</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8.127</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15.414</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2.498</w:t>
            </w:r>
          </w:p>
        </w:tc>
      </w:tr>
      <w:tr w:rsidR="00D155A3" w:rsidRPr="00AA3CB0" w:rsidTr="00D155A3">
        <w:trPr>
          <w:trHeight w:val="218"/>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2007.</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4.437</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2.010</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6.958</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13.602</w:t>
            </w:r>
          </w:p>
        </w:tc>
        <w:tc>
          <w:tcPr>
            <w:tcW w:w="1303" w:type="dxa"/>
            <w:tcBorders>
              <w:top w:val="nil"/>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2.109</w:t>
            </w:r>
          </w:p>
        </w:tc>
      </w:tr>
      <w:tr w:rsidR="00D155A3" w:rsidRPr="00AA3CB0" w:rsidTr="00D155A3">
        <w:trPr>
          <w:trHeight w:val="230"/>
        </w:trPr>
        <w:tc>
          <w:tcPr>
            <w:tcW w:w="2551" w:type="dxa"/>
            <w:tcBorders>
              <w:top w:val="nil"/>
              <w:left w:val="single" w:sz="4" w:space="0" w:color="auto"/>
              <w:bottom w:val="nil"/>
              <w:right w:val="single" w:sz="4" w:space="0" w:color="auto"/>
            </w:tcBorders>
            <w:shd w:val="clear" w:color="auto" w:fill="auto"/>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2008.</w:t>
            </w:r>
          </w:p>
        </w:tc>
        <w:tc>
          <w:tcPr>
            <w:tcW w:w="1303" w:type="dxa"/>
            <w:tcBorders>
              <w:top w:val="nil"/>
              <w:left w:val="nil"/>
              <w:bottom w:val="nil"/>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4.063</w:t>
            </w:r>
          </w:p>
        </w:tc>
        <w:tc>
          <w:tcPr>
            <w:tcW w:w="1303" w:type="dxa"/>
            <w:tcBorders>
              <w:top w:val="nil"/>
              <w:left w:val="nil"/>
              <w:bottom w:val="nil"/>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1.890</w:t>
            </w:r>
          </w:p>
        </w:tc>
        <w:tc>
          <w:tcPr>
            <w:tcW w:w="1303" w:type="dxa"/>
            <w:tcBorders>
              <w:top w:val="nil"/>
              <w:left w:val="nil"/>
              <w:bottom w:val="nil"/>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6.687</w:t>
            </w:r>
          </w:p>
        </w:tc>
        <w:tc>
          <w:tcPr>
            <w:tcW w:w="1303" w:type="dxa"/>
            <w:tcBorders>
              <w:top w:val="nil"/>
              <w:left w:val="nil"/>
              <w:bottom w:val="nil"/>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12.416</w:t>
            </w:r>
          </w:p>
        </w:tc>
        <w:tc>
          <w:tcPr>
            <w:tcW w:w="1303" w:type="dxa"/>
            <w:tcBorders>
              <w:top w:val="nil"/>
              <w:left w:val="nil"/>
              <w:bottom w:val="nil"/>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1.867</w:t>
            </w:r>
          </w:p>
        </w:tc>
      </w:tr>
      <w:tr w:rsidR="00D155A3" w:rsidRPr="00AA3CB0" w:rsidTr="00D155A3">
        <w:trPr>
          <w:trHeight w:val="218"/>
        </w:trPr>
        <w:tc>
          <w:tcPr>
            <w:tcW w:w="2551"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2009.</w:t>
            </w:r>
          </w:p>
        </w:tc>
        <w:tc>
          <w:tcPr>
            <w:tcW w:w="1303" w:type="dxa"/>
            <w:tcBorders>
              <w:top w:val="single" w:sz="8" w:space="0" w:color="auto"/>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4.788</w:t>
            </w:r>
          </w:p>
        </w:tc>
        <w:tc>
          <w:tcPr>
            <w:tcW w:w="1303" w:type="dxa"/>
            <w:tcBorders>
              <w:top w:val="single" w:sz="8" w:space="0" w:color="auto"/>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2.820</w:t>
            </w:r>
          </w:p>
        </w:tc>
        <w:tc>
          <w:tcPr>
            <w:tcW w:w="1303" w:type="dxa"/>
            <w:tcBorders>
              <w:top w:val="single" w:sz="8" w:space="0" w:color="auto"/>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8.435</w:t>
            </w:r>
          </w:p>
        </w:tc>
        <w:tc>
          <w:tcPr>
            <w:tcW w:w="1303" w:type="dxa"/>
            <w:tcBorders>
              <w:top w:val="single" w:sz="8" w:space="0" w:color="auto"/>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14.059</w:t>
            </w:r>
          </w:p>
        </w:tc>
        <w:tc>
          <w:tcPr>
            <w:tcW w:w="1303" w:type="dxa"/>
            <w:tcBorders>
              <w:top w:val="single" w:sz="8" w:space="0" w:color="auto"/>
              <w:left w:val="nil"/>
              <w:bottom w:val="single" w:sz="4" w:space="0" w:color="auto"/>
              <w:right w:val="single" w:sz="8"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2.409</w:t>
            </w:r>
          </w:p>
        </w:tc>
      </w:tr>
      <w:tr w:rsidR="00D155A3" w:rsidRPr="00AA3CB0" w:rsidTr="00D155A3">
        <w:trPr>
          <w:trHeight w:val="218"/>
        </w:trPr>
        <w:tc>
          <w:tcPr>
            <w:tcW w:w="2551" w:type="dxa"/>
            <w:tcBorders>
              <w:top w:val="nil"/>
              <w:left w:val="single" w:sz="8" w:space="0" w:color="auto"/>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2010.</w:t>
            </w:r>
          </w:p>
        </w:tc>
        <w:tc>
          <w:tcPr>
            <w:tcW w:w="1303" w:type="dxa"/>
            <w:tcBorders>
              <w:top w:val="nil"/>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4.928</w:t>
            </w:r>
          </w:p>
        </w:tc>
        <w:tc>
          <w:tcPr>
            <w:tcW w:w="1303" w:type="dxa"/>
            <w:tcBorders>
              <w:top w:val="nil"/>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2.997</w:t>
            </w:r>
          </w:p>
        </w:tc>
        <w:tc>
          <w:tcPr>
            <w:tcW w:w="1303" w:type="dxa"/>
            <w:tcBorders>
              <w:top w:val="nil"/>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9.385</w:t>
            </w:r>
          </w:p>
        </w:tc>
        <w:tc>
          <w:tcPr>
            <w:tcW w:w="1303" w:type="dxa"/>
            <w:tcBorders>
              <w:top w:val="nil"/>
              <w:left w:val="nil"/>
              <w:bottom w:val="single" w:sz="4" w:space="0" w:color="auto"/>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15.989</w:t>
            </w:r>
          </w:p>
        </w:tc>
        <w:tc>
          <w:tcPr>
            <w:tcW w:w="1303" w:type="dxa"/>
            <w:tcBorders>
              <w:top w:val="nil"/>
              <w:left w:val="nil"/>
              <w:bottom w:val="single" w:sz="4" w:space="0" w:color="auto"/>
              <w:right w:val="single" w:sz="8"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2.509</w:t>
            </w:r>
          </w:p>
        </w:tc>
      </w:tr>
      <w:tr w:rsidR="00D155A3" w:rsidRPr="00AA3CB0" w:rsidTr="00D155A3">
        <w:trPr>
          <w:trHeight w:val="230"/>
        </w:trPr>
        <w:tc>
          <w:tcPr>
            <w:tcW w:w="2551" w:type="dxa"/>
            <w:tcBorders>
              <w:top w:val="nil"/>
              <w:left w:val="single" w:sz="8" w:space="0" w:color="auto"/>
              <w:bottom w:val="nil"/>
              <w:right w:val="single" w:sz="4" w:space="0" w:color="auto"/>
            </w:tcBorders>
            <w:shd w:val="clear" w:color="000000" w:fill="D9D9D9"/>
            <w:noWrap/>
            <w:vAlign w:val="bottom"/>
            <w:hideMark/>
          </w:tcPr>
          <w:p w:rsidR="00D155A3" w:rsidRPr="00AA3CB0" w:rsidRDefault="00D155A3" w:rsidP="00AA3CB0">
            <w:pPr>
              <w:spacing w:after="0" w:line="240" w:lineRule="auto"/>
              <w:jc w:val="center"/>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2011.</w:t>
            </w:r>
          </w:p>
        </w:tc>
        <w:tc>
          <w:tcPr>
            <w:tcW w:w="1303" w:type="dxa"/>
            <w:tcBorders>
              <w:top w:val="nil"/>
              <w:left w:val="nil"/>
              <w:bottom w:val="nil"/>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4.740</w:t>
            </w:r>
          </w:p>
        </w:tc>
        <w:tc>
          <w:tcPr>
            <w:tcW w:w="1303" w:type="dxa"/>
            <w:tcBorders>
              <w:top w:val="nil"/>
              <w:left w:val="nil"/>
              <w:bottom w:val="nil"/>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2.948</w:t>
            </w:r>
          </w:p>
        </w:tc>
        <w:tc>
          <w:tcPr>
            <w:tcW w:w="1303" w:type="dxa"/>
            <w:tcBorders>
              <w:top w:val="nil"/>
              <w:left w:val="nil"/>
              <w:bottom w:val="nil"/>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9.008</w:t>
            </w:r>
          </w:p>
        </w:tc>
        <w:tc>
          <w:tcPr>
            <w:tcW w:w="1303" w:type="dxa"/>
            <w:tcBorders>
              <w:top w:val="nil"/>
              <w:left w:val="nil"/>
              <w:bottom w:val="nil"/>
              <w:right w:val="single" w:sz="4"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16.920</w:t>
            </w:r>
          </w:p>
        </w:tc>
        <w:tc>
          <w:tcPr>
            <w:tcW w:w="1303" w:type="dxa"/>
            <w:tcBorders>
              <w:top w:val="nil"/>
              <w:left w:val="nil"/>
              <w:bottom w:val="nil"/>
              <w:right w:val="single" w:sz="8" w:space="0" w:color="auto"/>
            </w:tcBorders>
            <w:shd w:val="clear" w:color="000000" w:fill="D9D9D9"/>
            <w:noWrap/>
            <w:vAlign w:val="bottom"/>
            <w:hideMark/>
          </w:tcPr>
          <w:p w:rsidR="00D155A3" w:rsidRPr="00AA3CB0" w:rsidRDefault="00D155A3" w:rsidP="00AA3CB0">
            <w:pPr>
              <w:spacing w:after="0" w:line="240" w:lineRule="auto"/>
              <w:jc w:val="right"/>
              <w:rPr>
                <w:rFonts w:ascii="Corbel" w:eastAsia="Times New Roman" w:hAnsi="Corbel" w:cs="Times New Roman"/>
                <w:color w:val="000000"/>
                <w:sz w:val="20"/>
                <w:szCs w:val="20"/>
                <w:lang w:eastAsia="hr-HR"/>
              </w:rPr>
            </w:pPr>
            <w:r w:rsidRPr="00AA3CB0">
              <w:rPr>
                <w:rFonts w:ascii="Corbel" w:eastAsia="Times New Roman" w:hAnsi="Corbel" w:cs="Times New Roman"/>
                <w:color w:val="000000"/>
                <w:sz w:val="20"/>
                <w:szCs w:val="20"/>
                <w:lang w:eastAsia="hr-HR"/>
              </w:rPr>
              <w:t>2.261</w:t>
            </w:r>
          </w:p>
        </w:tc>
      </w:tr>
      <w:tr w:rsidR="00D155A3" w:rsidRPr="00AA3CB0" w:rsidTr="00AA3CB0">
        <w:trPr>
          <w:trHeight w:val="84"/>
        </w:trPr>
        <w:tc>
          <w:tcPr>
            <w:tcW w:w="2551"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D155A3" w:rsidRPr="00AA3CB0" w:rsidRDefault="00AA3CB0" w:rsidP="00AA3CB0">
            <w:pPr>
              <w:spacing w:after="0" w:line="240" w:lineRule="auto"/>
              <w:jc w:val="center"/>
              <w:rPr>
                <w:rFonts w:ascii="Corbel" w:eastAsia="Times New Roman" w:hAnsi="Corbel" w:cs="Times New Roman"/>
                <w:b/>
                <w:bCs/>
                <w:color w:val="000000"/>
                <w:sz w:val="20"/>
                <w:szCs w:val="20"/>
                <w:lang w:eastAsia="hr-HR"/>
              </w:rPr>
            </w:pPr>
            <w:proofErr w:type="spellStart"/>
            <w:r>
              <w:rPr>
                <w:rFonts w:ascii="Corbel" w:eastAsia="Times New Roman" w:hAnsi="Corbel" w:cs="Times New Roman"/>
                <w:b/>
                <w:bCs/>
                <w:color w:val="000000"/>
                <w:sz w:val="20"/>
                <w:szCs w:val="20"/>
                <w:lang w:eastAsia="hr-HR"/>
              </w:rPr>
              <w:t>PGS</w:t>
            </w:r>
            <w:proofErr w:type="spellEnd"/>
            <w:r w:rsidR="00D155A3" w:rsidRPr="00AA3CB0">
              <w:rPr>
                <w:rFonts w:ascii="Corbel" w:eastAsia="Times New Roman" w:hAnsi="Corbel" w:cs="Times New Roman"/>
                <w:b/>
                <w:bCs/>
                <w:color w:val="000000"/>
                <w:sz w:val="20"/>
                <w:szCs w:val="20"/>
                <w:lang w:eastAsia="hr-HR"/>
              </w:rPr>
              <w:t xml:space="preserve"> 2001-2008</w:t>
            </w:r>
          </w:p>
        </w:tc>
        <w:tc>
          <w:tcPr>
            <w:tcW w:w="1303" w:type="dxa"/>
            <w:tcBorders>
              <w:top w:val="single" w:sz="8" w:space="0" w:color="auto"/>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000000"/>
                <w:sz w:val="20"/>
                <w:szCs w:val="20"/>
                <w:lang w:eastAsia="hr-HR"/>
              </w:rPr>
            </w:pPr>
            <w:r w:rsidRPr="00AA3CB0">
              <w:rPr>
                <w:rFonts w:ascii="Corbel" w:eastAsia="Times New Roman" w:hAnsi="Corbel" w:cs="Times New Roman"/>
                <w:b/>
                <w:color w:val="000000"/>
                <w:sz w:val="20"/>
                <w:szCs w:val="20"/>
                <w:lang w:eastAsia="hr-HR"/>
              </w:rPr>
              <w:t>-6,08</w:t>
            </w:r>
          </w:p>
        </w:tc>
        <w:tc>
          <w:tcPr>
            <w:tcW w:w="1303" w:type="dxa"/>
            <w:tcBorders>
              <w:top w:val="single" w:sz="8" w:space="0" w:color="auto"/>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000000"/>
                <w:sz w:val="20"/>
                <w:szCs w:val="20"/>
                <w:lang w:eastAsia="hr-HR"/>
              </w:rPr>
            </w:pPr>
            <w:r w:rsidRPr="00AA3CB0">
              <w:rPr>
                <w:rFonts w:ascii="Corbel" w:eastAsia="Times New Roman" w:hAnsi="Corbel" w:cs="Times New Roman"/>
                <w:b/>
                <w:color w:val="000000"/>
                <w:sz w:val="20"/>
                <w:szCs w:val="20"/>
                <w:lang w:eastAsia="hr-HR"/>
              </w:rPr>
              <w:t>-7,12</w:t>
            </w:r>
          </w:p>
        </w:tc>
        <w:tc>
          <w:tcPr>
            <w:tcW w:w="1303" w:type="dxa"/>
            <w:tcBorders>
              <w:top w:val="single" w:sz="8" w:space="0" w:color="auto"/>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000000"/>
                <w:sz w:val="20"/>
                <w:szCs w:val="20"/>
                <w:lang w:eastAsia="hr-HR"/>
              </w:rPr>
            </w:pPr>
            <w:r w:rsidRPr="00AA3CB0">
              <w:rPr>
                <w:rFonts w:ascii="Corbel" w:eastAsia="Times New Roman" w:hAnsi="Corbel" w:cs="Times New Roman"/>
                <w:b/>
                <w:color w:val="000000"/>
                <w:sz w:val="20"/>
                <w:szCs w:val="20"/>
                <w:lang w:eastAsia="hr-HR"/>
              </w:rPr>
              <w:t>-6,61</w:t>
            </w:r>
          </w:p>
        </w:tc>
        <w:tc>
          <w:tcPr>
            <w:tcW w:w="1303" w:type="dxa"/>
            <w:tcBorders>
              <w:top w:val="single" w:sz="8" w:space="0" w:color="auto"/>
              <w:left w:val="nil"/>
              <w:bottom w:val="single" w:sz="4"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000000"/>
                <w:sz w:val="20"/>
                <w:szCs w:val="20"/>
                <w:lang w:eastAsia="hr-HR"/>
              </w:rPr>
            </w:pPr>
            <w:r w:rsidRPr="00AA3CB0">
              <w:rPr>
                <w:rFonts w:ascii="Corbel" w:eastAsia="Times New Roman" w:hAnsi="Corbel" w:cs="Times New Roman"/>
                <w:b/>
                <w:color w:val="000000"/>
                <w:sz w:val="20"/>
                <w:szCs w:val="20"/>
                <w:lang w:eastAsia="hr-HR"/>
              </w:rPr>
              <w:t>-5,99</w:t>
            </w:r>
          </w:p>
        </w:tc>
        <w:tc>
          <w:tcPr>
            <w:tcW w:w="1303" w:type="dxa"/>
            <w:tcBorders>
              <w:top w:val="single" w:sz="8" w:space="0" w:color="auto"/>
              <w:left w:val="nil"/>
              <w:bottom w:val="single" w:sz="4" w:space="0" w:color="auto"/>
              <w:right w:val="single" w:sz="8"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000000"/>
                <w:sz w:val="20"/>
                <w:szCs w:val="20"/>
                <w:lang w:eastAsia="hr-HR"/>
              </w:rPr>
            </w:pPr>
            <w:r w:rsidRPr="00AA3CB0">
              <w:rPr>
                <w:rFonts w:ascii="Corbel" w:eastAsia="Times New Roman" w:hAnsi="Corbel" w:cs="Times New Roman"/>
                <w:b/>
                <w:color w:val="000000"/>
                <w:sz w:val="20"/>
                <w:szCs w:val="20"/>
                <w:lang w:eastAsia="hr-HR"/>
              </w:rPr>
              <w:t>-8,14</w:t>
            </w:r>
          </w:p>
        </w:tc>
      </w:tr>
      <w:tr w:rsidR="00D155A3" w:rsidRPr="00AA3CB0" w:rsidTr="00AA3CB0">
        <w:trPr>
          <w:trHeight w:val="77"/>
        </w:trPr>
        <w:tc>
          <w:tcPr>
            <w:tcW w:w="2551" w:type="dxa"/>
            <w:tcBorders>
              <w:top w:val="nil"/>
              <w:left w:val="single" w:sz="8" w:space="0" w:color="auto"/>
              <w:bottom w:val="single" w:sz="8" w:space="0" w:color="auto"/>
              <w:right w:val="single" w:sz="4" w:space="0" w:color="auto"/>
            </w:tcBorders>
            <w:shd w:val="clear" w:color="auto" w:fill="auto"/>
            <w:vAlign w:val="bottom"/>
            <w:hideMark/>
          </w:tcPr>
          <w:p w:rsidR="00D155A3" w:rsidRPr="00AA3CB0" w:rsidRDefault="00AA3CB0" w:rsidP="00AA3CB0">
            <w:pPr>
              <w:spacing w:after="0" w:line="240" w:lineRule="auto"/>
              <w:jc w:val="center"/>
              <w:rPr>
                <w:rFonts w:ascii="Corbel" w:eastAsia="Times New Roman" w:hAnsi="Corbel" w:cs="Times New Roman"/>
                <w:b/>
                <w:bCs/>
                <w:color w:val="000000"/>
                <w:sz w:val="20"/>
                <w:szCs w:val="20"/>
                <w:lang w:eastAsia="hr-HR"/>
              </w:rPr>
            </w:pPr>
            <w:proofErr w:type="spellStart"/>
            <w:r>
              <w:rPr>
                <w:rFonts w:ascii="Corbel" w:eastAsia="Times New Roman" w:hAnsi="Corbel" w:cs="Times New Roman"/>
                <w:b/>
                <w:bCs/>
                <w:color w:val="000000"/>
                <w:sz w:val="20"/>
                <w:szCs w:val="20"/>
                <w:lang w:eastAsia="hr-HR"/>
              </w:rPr>
              <w:t>PGS</w:t>
            </w:r>
            <w:proofErr w:type="spellEnd"/>
            <w:r w:rsidR="00D155A3" w:rsidRPr="00AA3CB0">
              <w:rPr>
                <w:rFonts w:ascii="Corbel" w:eastAsia="Times New Roman" w:hAnsi="Corbel" w:cs="Times New Roman"/>
                <w:b/>
                <w:bCs/>
                <w:color w:val="000000"/>
                <w:sz w:val="20"/>
                <w:szCs w:val="20"/>
                <w:lang w:eastAsia="hr-HR"/>
              </w:rPr>
              <w:t xml:space="preserve"> 2008-2011</w:t>
            </w:r>
          </w:p>
        </w:tc>
        <w:tc>
          <w:tcPr>
            <w:tcW w:w="1303" w:type="dxa"/>
            <w:tcBorders>
              <w:top w:val="nil"/>
              <w:left w:val="nil"/>
              <w:bottom w:val="single" w:sz="8"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5,55</w:t>
            </w:r>
          </w:p>
        </w:tc>
        <w:tc>
          <w:tcPr>
            <w:tcW w:w="1303" w:type="dxa"/>
            <w:tcBorders>
              <w:top w:val="nil"/>
              <w:left w:val="nil"/>
              <w:bottom w:val="single" w:sz="8"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18,66</w:t>
            </w:r>
          </w:p>
        </w:tc>
        <w:tc>
          <w:tcPr>
            <w:tcW w:w="1303" w:type="dxa"/>
            <w:tcBorders>
              <w:top w:val="nil"/>
              <w:left w:val="nil"/>
              <w:bottom w:val="single" w:sz="8"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11,57</w:t>
            </w:r>
          </w:p>
        </w:tc>
        <w:tc>
          <w:tcPr>
            <w:tcW w:w="1303" w:type="dxa"/>
            <w:tcBorders>
              <w:top w:val="nil"/>
              <w:left w:val="nil"/>
              <w:bottom w:val="single" w:sz="8" w:space="0" w:color="auto"/>
              <w:right w:val="single" w:sz="4"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12,09</w:t>
            </w:r>
          </w:p>
        </w:tc>
        <w:tc>
          <w:tcPr>
            <w:tcW w:w="1303" w:type="dxa"/>
            <w:tcBorders>
              <w:top w:val="nil"/>
              <w:left w:val="nil"/>
              <w:bottom w:val="single" w:sz="8" w:space="0" w:color="auto"/>
              <w:right w:val="single" w:sz="8" w:space="0" w:color="auto"/>
            </w:tcBorders>
            <w:shd w:val="clear" w:color="auto" w:fill="auto"/>
            <w:noWrap/>
            <w:vAlign w:val="bottom"/>
            <w:hideMark/>
          </w:tcPr>
          <w:p w:rsidR="00D155A3" w:rsidRPr="00AA3CB0" w:rsidRDefault="00D155A3" w:rsidP="00AA3CB0">
            <w:pPr>
              <w:spacing w:after="0" w:line="240" w:lineRule="auto"/>
              <w:jc w:val="right"/>
              <w:rPr>
                <w:rFonts w:ascii="Corbel" w:eastAsia="Times New Roman" w:hAnsi="Corbel" w:cs="Times New Roman"/>
                <w:b/>
                <w:color w:val="FF0000"/>
                <w:sz w:val="20"/>
                <w:szCs w:val="20"/>
                <w:lang w:eastAsia="hr-HR"/>
              </w:rPr>
            </w:pPr>
            <w:r w:rsidRPr="00AA3CB0">
              <w:rPr>
                <w:rFonts w:ascii="Corbel" w:eastAsia="Times New Roman" w:hAnsi="Corbel" w:cs="Times New Roman"/>
                <w:b/>
                <w:color w:val="FF0000"/>
                <w:sz w:val="20"/>
                <w:szCs w:val="20"/>
                <w:lang w:eastAsia="hr-HR"/>
              </w:rPr>
              <w:t>7,03</w:t>
            </w:r>
          </w:p>
        </w:tc>
      </w:tr>
    </w:tbl>
    <w:p w:rsidR="00C952A0" w:rsidRPr="00AA3CB0" w:rsidRDefault="00C952A0" w:rsidP="00AA3CB0">
      <w:pPr>
        <w:spacing w:line="240" w:lineRule="auto"/>
        <w:rPr>
          <w:rFonts w:ascii="Corbel" w:hAnsi="Corbel" w:cs="Times New Roman"/>
        </w:rPr>
      </w:pPr>
      <w:r w:rsidRPr="00AA3CB0">
        <w:rPr>
          <w:rFonts w:ascii="Corbel" w:hAnsi="Corbel" w:cs="Times New Roman"/>
        </w:rPr>
        <w:t xml:space="preserve">Izvor: </w:t>
      </w:r>
      <w:r w:rsidR="00560E86" w:rsidRPr="00AA3CB0">
        <w:rPr>
          <w:rFonts w:ascii="Corbel" w:hAnsi="Corbel" w:cs="Times New Roman"/>
        </w:rPr>
        <w:t>HZZ, Registrirana nezaposlenost, po godinama, obrada: ZADRA</w:t>
      </w:r>
    </w:p>
    <w:p w:rsidR="00EE2E05" w:rsidRPr="00AA3CB0" w:rsidRDefault="00EE2E05" w:rsidP="00AA3CB0">
      <w:pPr>
        <w:spacing w:line="240" w:lineRule="auto"/>
        <w:jc w:val="both"/>
        <w:rPr>
          <w:rFonts w:ascii="Corbel" w:hAnsi="Corbel" w:cs="Times New Roman"/>
        </w:rPr>
      </w:pPr>
      <w:r w:rsidRPr="00AA3CB0">
        <w:rPr>
          <w:rFonts w:ascii="Corbel" w:hAnsi="Corbel" w:cs="Times New Roman"/>
        </w:rPr>
        <w:t xml:space="preserve">Dinamika u stopi nezaposlenosti za izabrane gradove pokazuje pozitivne pomake do 2008. godine. </w:t>
      </w:r>
      <w:r w:rsidRPr="00AA3CB0">
        <w:rPr>
          <w:rFonts w:ascii="Corbel" w:hAnsi="Corbel" w:cs="Times New Roman"/>
          <w:b/>
        </w:rPr>
        <w:t>Grad Zadar je u svega nekoliko godina uspio smanjiti svoju stopu nezaposlenosti sa 20,36% u 2001. godini na 10,22% u 2008.,</w:t>
      </w:r>
      <w:r w:rsidRPr="00AA3CB0">
        <w:rPr>
          <w:rFonts w:ascii="Corbel" w:hAnsi="Corbel" w:cs="Times New Roman"/>
        </w:rPr>
        <w:t xml:space="preserve"> što je smanjenje za deset postotnih poena u samo osam godina. U tome razdoblju stopa nezaposlenosti je </w:t>
      </w:r>
      <w:r w:rsidRPr="00AA3CB0">
        <w:rPr>
          <w:rFonts w:ascii="Corbel" w:hAnsi="Corbel" w:cs="Times New Roman"/>
          <w:b/>
        </w:rPr>
        <w:t>opada</w:t>
      </w:r>
      <w:r w:rsidR="00466349" w:rsidRPr="00AA3CB0">
        <w:rPr>
          <w:rFonts w:ascii="Corbel" w:hAnsi="Corbel" w:cs="Times New Roman"/>
          <w:b/>
        </w:rPr>
        <w:t>la</w:t>
      </w:r>
      <w:r w:rsidRPr="00AA3CB0">
        <w:rPr>
          <w:rFonts w:ascii="Corbel" w:hAnsi="Corbel" w:cs="Times New Roman"/>
        </w:rPr>
        <w:t xml:space="preserve"> </w:t>
      </w:r>
      <w:r w:rsidRPr="00AA3CB0">
        <w:rPr>
          <w:rFonts w:ascii="Corbel" w:hAnsi="Corbel" w:cs="Times New Roman"/>
          <w:b/>
        </w:rPr>
        <w:t>po godišnjoj stopi od 6,08%</w:t>
      </w:r>
      <w:r w:rsidRPr="00AA3CB0">
        <w:rPr>
          <w:rFonts w:ascii="Corbel" w:hAnsi="Corbel" w:cs="Times New Roman"/>
        </w:rPr>
        <w:t xml:space="preserve">. Nezaposlenost je brže opadala u Puli, Rijeci i Dubrovniku, što znači da su svi Jadranski gradovi u razdoblju rasta </w:t>
      </w:r>
      <w:r w:rsidR="00466349" w:rsidRPr="00AA3CB0">
        <w:rPr>
          <w:rFonts w:ascii="Corbel" w:hAnsi="Corbel" w:cs="Times New Roman"/>
        </w:rPr>
        <w:t xml:space="preserve">vodili učinkovitu politiku protiv nezaposlenosti. Grad Zadar, </w:t>
      </w:r>
      <w:r w:rsidR="00466349" w:rsidRPr="00AA3CB0">
        <w:rPr>
          <w:rFonts w:ascii="Corbel" w:hAnsi="Corbel" w:cs="Times New Roman"/>
          <w:b/>
        </w:rPr>
        <w:t>s obzirom na mogućnosti (usporedba s Pulom) ima relativno visoku stopu nezaposlenosti</w:t>
      </w:r>
      <w:r w:rsidR="00491E12" w:rsidRPr="00AA3CB0">
        <w:rPr>
          <w:rFonts w:ascii="Corbel" w:hAnsi="Corbel" w:cs="Times New Roman"/>
        </w:rPr>
        <w:t>,</w:t>
      </w:r>
      <w:r w:rsidR="00AB713F" w:rsidRPr="00AA3CB0">
        <w:rPr>
          <w:rFonts w:ascii="Corbel" w:hAnsi="Corbel" w:cs="Times New Roman"/>
        </w:rPr>
        <w:t xml:space="preserve"> koja se nije uspjela smanjiti na razinu ispod 10% u poslijeratnim godinama</w:t>
      </w:r>
      <w:r w:rsidR="00491E12" w:rsidRPr="00AA3CB0">
        <w:rPr>
          <w:rFonts w:ascii="Corbel" w:hAnsi="Corbel" w:cs="Times New Roman"/>
        </w:rPr>
        <w:t>,</w:t>
      </w:r>
      <w:r w:rsidR="00EA3824" w:rsidRPr="00AA3CB0">
        <w:rPr>
          <w:rFonts w:ascii="Corbel" w:hAnsi="Corbel" w:cs="Times New Roman"/>
        </w:rPr>
        <w:t xml:space="preserve"> što znači da će u godinama oporavka koje </w:t>
      </w:r>
      <w:r w:rsidR="00491E12" w:rsidRPr="00AA3CB0">
        <w:rPr>
          <w:rFonts w:ascii="Corbel" w:hAnsi="Corbel" w:cs="Times New Roman"/>
        </w:rPr>
        <w:t>slijede</w:t>
      </w:r>
      <w:r w:rsidR="00EA3824" w:rsidRPr="00AA3CB0">
        <w:rPr>
          <w:rFonts w:ascii="Corbel" w:hAnsi="Corbel" w:cs="Times New Roman"/>
        </w:rPr>
        <w:t xml:space="preserve"> trebati vratiti pozitivni trend koji </w:t>
      </w:r>
      <w:r w:rsidR="00491E12" w:rsidRPr="00AA3CB0">
        <w:rPr>
          <w:rFonts w:ascii="Corbel" w:hAnsi="Corbel" w:cs="Times New Roman"/>
        </w:rPr>
        <w:t xml:space="preserve">je grad imao do 2008. godine. Cilj je u kratkom roku broj nezaposlenih svesti ispod 4.000, a duljem roku još </w:t>
      </w:r>
      <w:r w:rsidR="00903382" w:rsidRPr="00AA3CB0">
        <w:rPr>
          <w:rFonts w:ascii="Corbel" w:hAnsi="Corbel" w:cs="Times New Roman"/>
        </w:rPr>
        <w:t>i niže prema 2.000 nezaposlenih što je svakako izazov u desetljeću</w:t>
      </w:r>
      <w:r w:rsidR="00C3718B" w:rsidRPr="00AA3CB0">
        <w:rPr>
          <w:rFonts w:ascii="Corbel" w:hAnsi="Corbel" w:cs="Times New Roman"/>
        </w:rPr>
        <w:t xml:space="preserve"> koje je</w:t>
      </w:r>
      <w:r w:rsidR="00903382" w:rsidRPr="00AA3CB0">
        <w:rPr>
          <w:rFonts w:ascii="Corbel" w:hAnsi="Corbel" w:cs="Times New Roman"/>
        </w:rPr>
        <w:t xml:space="preserve"> ispred nas.</w:t>
      </w:r>
    </w:p>
    <w:p w:rsidR="00271254" w:rsidRPr="00AA3CB0" w:rsidRDefault="007903EE" w:rsidP="00AA3CB0">
      <w:pPr>
        <w:spacing w:line="240" w:lineRule="auto"/>
        <w:jc w:val="both"/>
        <w:rPr>
          <w:rFonts w:ascii="Corbel" w:hAnsi="Corbel" w:cs="Times New Roman"/>
        </w:rPr>
      </w:pPr>
      <w:r w:rsidRPr="00FB2B17">
        <w:rPr>
          <w:rFonts w:ascii="Corbel" w:hAnsi="Corbel" w:cs="Times New Roman"/>
        </w:rPr>
        <w:t>Za daljnje razum</w:t>
      </w:r>
      <w:r w:rsidR="00733E1C" w:rsidRPr="00FB2B17">
        <w:rPr>
          <w:rFonts w:ascii="Corbel" w:hAnsi="Corbel" w:cs="Times New Roman"/>
        </w:rPr>
        <w:t>i</w:t>
      </w:r>
      <w:r w:rsidRPr="00FB2B17">
        <w:rPr>
          <w:rFonts w:ascii="Corbel" w:hAnsi="Corbel" w:cs="Times New Roman"/>
        </w:rPr>
        <w:t xml:space="preserve">jevanje gospodarskih performansi gradova </w:t>
      </w:r>
      <w:r w:rsidR="00733E1C" w:rsidRPr="00FB2B17">
        <w:rPr>
          <w:rFonts w:ascii="Corbel" w:hAnsi="Corbel" w:cs="Times New Roman"/>
        </w:rPr>
        <w:t xml:space="preserve">potrebno je vidjeti kako su gradovi </w:t>
      </w:r>
      <w:r w:rsidR="000C1BC2" w:rsidRPr="00FB2B17">
        <w:rPr>
          <w:rFonts w:ascii="Corbel" w:hAnsi="Corbel" w:cs="Times New Roman"/>
        </w:rPr>
        <w:t>odolijevali</w:t>
      </w:r>
      <w:r w:rsidR="00733E1C" w:rsidRPr="00FB2B17">
        <w:rPr>
          <w:rFonts w:ascii="Corbel" w:hAnsi="Corbel" w:cs="Times New Roman"/>
        </w:rPr>
        <w:t xml:space="preserve"> recesiji. </w:t>
      </w:r>
      <w:r w:rsidRPr="00FB2B17">
        <w:rPr>
          <w:rFonts w:ascii="Corbel" w:hAnsi="Corbel" w:cs="Times New Roman"/>
        </w:rPr>
        <w:t xml:space="preserve">U razdoblju recesije </w:t>
      </w:r>
      <w:r w:rsidR="00733E1C" w:rsidRPr="00FB2B17">
        <w:rPr>
          <w:rFonts w:ascii="Corbel" w:hAnsi="Corbel" w:cs="Times New Roman"/>
        </w:rPr>
        <w:t>u Zad</w:t>
      </w:r>
      <w:r w:rsidRPr="00FB2B17">
        <w:rPr>
          <w:rFonts w:ascii="Corbel" w:hAnsi="Corbel" w:cs="Times New Roman"/>
        </w:rPr>
        <w:t>r</w:t>
      </w:r>
      <w:r w:rsidR="00733E1C" w:rsidRPr="00FB2B17">
        <w:rPr>
          <w:rFonts w:ascii="Corbel" w:hAnsi="Corbel" w:cs="Times New Roman"/>
        </w:rPr>
        <w:t>u</w:t>
      </w:r>
      <w:r w:rsidRPr="00FB2B17">
        <w:rPr>
          <w:rFonts w:ascii="Corbel" w:hAnsi="Corbel" w:cs="Times New Roman"/>
        </w:rPr>
        <w:t xml:space="preserve"> je </w:t>
      </w:r>
      <w:r w:rsidR="00733E1C" w:rsidRPr="00FB2B17">
        <w:rPr>
          <w:rFonts w:ascii="Corbel" w:hAnsi="Corbel" w:cs="Times New Roman"/>
        </w:rPr>
        <w:t xml:space="preserve">od svih gradova </w:t>
      </w:r>
      <w:r w:rsidR="00733E1C" w:rsidRPr="00FB2B17">
        <w:rPr>
          <w:rFonts w:ascii="Corbel" w:hAnsi="Corbel" w:cs="Times New Roman"/>
          <w:b/>
        </w:rPr>
        <w:t>najsporije rasla nezaposlenost</w:t>
      </w:r>
      <w:r w:rsidR="00733E1C" w:rsidRPr="00FB2B17">
        <w:rPr>
          <w:rFonts w:ascii="Corbel" w:hAnsi="Corbel" w:cs="Times New Roman"/>
        </w:rPr>
        <w:t xml:space="preserve"> </w:t>
      </w:r>
      <w:r w:rsidR="00733E1C" w:rsidRPr="00FB2B17">
        <w:rPr>
          <w:rFonts w:ascii="Corbel" w:hAnsi="Corbel" w:cs="Times New Roman"/>
          <w:b/>
        </w:rPr>
        <w:t>po prosječnoj godišnjoj stopi od 5,55%</w:t>
      </w:r>
      <w:r w:rsidR="00733E1C" w:rsidRPr="00FB2B17">
        <w:rPr>
          <w:rFonts w:ascii="Corbel" w:hAnsi="Corbel" w:cs="Times New Roman"/>
        </w:rPr>
        <w:t xml:space="preserve">, dok je gospodarstvo Pule najlošije reagiralo na gospodarsku krizu, te je nezaposlenost oštro rasla po godišnjoj stopi od 18,66%. </w:t>
      </w:r>
      <w:r w:rsidR="00360E57" w:rsidRPr="00FB2B17">
        <w:rPr>
          <w:rFonts w:ascii="Corbel" w:hAnsi="Corbel" w:cs="Times New Roman"/>
        </w:rPr>
        <w:t>Kako je već naglašeno r</w:t>
      </w:r>
      <w:r w:rsidR="00733E1C" w:rsidRPr="00FB2B17">
        <w:rPr>
          <w:rFonts w:ascii="Corbel" w:hAnsi="Corbel" w:cs="Times New Roman"/>
        </w:rPr>
        <w:t>azloz</w:t>
      </w:r>
      <w:r w:rsidR="00360E57" w:rsidRPr="00FB2B17">
        <w:rPr>
          <w:rFonts w:ascii="Corbel" w:hAnsi="Corbel" w:cs="Times New Roman"/>
        </w:rPr>
        <w:t>i leže u strukturi gospodarstva, j</w:t>
      </w:r>
      <w:r w:rsidR="00733E1C" w:rsidRPr="00FB2B17">
        <w:rPr>
          <w:rFonts w:ascii="Corbel" w:hAnsi="Corbel" w:cs="Times New Roman"/>
        </w:rPr>
        <w:t>er gospodarstva koja imaju većinu zaposlenih u industrijama koje su više pogođene krizom brže gube zaposlene</w:t>
      </w:r>
      <w:r w:rsidR="00271254" w:rsidRPr="00FB2B17">
        <w:rPr>
          <w:rFonts w:ascii="Corbel" w:hAnsi="Corbel" w:cs="Times New Roman"/>
        </w:rPr>
        <w:t xml:space="preserve">. Ako usporedimo </w:t>
      </w:r>
      <w:r w:rsidR="00271254" w:rsidRPr="00FB2B17">
        <w:rPr>
          <w:rFonts w:ascii="Corbel" w:hAnsi="Corbel" w:cs="Times New Roman"/>
          <w:b/>
        </w:rPr>
        <w:t>kretanje zaposlenosti i nezaposlenosti u krizi, možemo zaključiti kako</w:t>
      </w:r>
      <w:r w:rsidR="00271254" w:rsidRPr="00FB2B17">
        <w:rPr>
          <w:rFonts w:ascii="Corbel" w:hAnsi="Corbel" w:cs="Times New Roman"/>
        </w:rPr>
        <w:t xml:space="preserve"> </w:t>
      </w:r>
      <w:r w:rsidR="00271254" w:rsidRPr="00FB2B17">
        <w:rPr>
          <w:rFonts w:ascii="Corbel" w:hAnsi="Corbel" w:cs="Times New Roman"/>
          <w:b/>
        </w:rPr>
        <w:t>je Zadar zadržao stabilnost</w:t>
      </w:r>
      <w:r w:rsidR="00271254" w:rsidRPr="00AA3CB0">
        <w:rPr>
          <w:rFonts w:ascii="Corbel" w:hAnsi="Corbel" w:cs="Times New Roman"/>
        </w:rPr>
        <w:t xml:space="preserve"> bez većih gubitaka.</w:t>
      </w:r>
      <w:r w:rsidR="009F7964" w:rsidRPr="00AA3CB0">
        <w:rPr>
          <w:rFonts w:ascii="Corbel" w:hAnsi="Corbel" w:cs="Times New Roman"/>
        </w:rPr>
        <w:t xml:space="preserve"> To se dobro vidi iz prosječne godišnje stope rasta zaposlenosti i nezaposlenosti. U razvojnim godinama zaposlenost raste po stopi od 4,14%, te istodobno nezaposlenost opada po stopi od 6,08%, dok u recesijskim godinama zaposlenost opada po stopi od 1,97%, a broj </w:t>
      </w:r>
      <w:r w:rsidR="009F7964" w:rsidRPr="00AA3CB0">
        <w:rPr>
          <w:rFonts w:ascii="Corbel" w:hAnsi="Corbel" w:cs="Times New Roman"/>
        </w:rPr>
        <w:lastRenderedPageBreak/>
        <w:t>nezaposlenih raste po stopi od 5,55%. Ako to usporedimo s drugim gradovima možemo vidjeti da su izabrani gradovi u godinama rasta rasli sporije od Zadra, dok su u recesiji brže opadali nego što je opadao  Zadar.</w:t>
      </w:r>
    </w:p>
    <w:p w:rsidR="00AB267C" w:rsidRDefault="00AB267C" w:rsidP="00AB267C">
      <w:pPr>
        <w:pStyle w:val="Opisslike"/>
        <w:keepNext/>
      </w:pPr>
      <w:bookmarkStart w:id="13" w:name="_Toc351538467"/>
      <w:r>
        <w:t xml:space="preserve">Slika </w:t>
      </w:r>
      <w:fldSimple w:instr=" SEQ Slika \* ARABIC ">
        <w:r w:rsidR="001E7A09">
          <w:rPr>
            <w:noProof/>
          </w:rPr>
          <w:t>4</w:t>
        </w:r>
      </w:fldSimple>
      <w:r>
        <w:t>.: Stope nezaposlenosti po godinama i izabranim gradovima</w:t>
      </w:r>
      <w:bookmarkEnd w:id="13"/>
    </w:p>
    <w:p w:rsidR="00AB267C" w:rsidRDefault="00AB267C" w:rsidP="00AB267C">
      <w:pPr>
        <w:spacing w:after="0"/>
        <w:rPr>
          <w:rFonts w:ascii="Times New Roman" w:hAnsi="Times New Roman" w:cs="Times New Roman"/>
        </w:rPr>
      </w:pPr>
      <w:r>
        <w:rPr>
          <w:noProof/>
          <w:lang w:eastAsia="hr-HR"/>
        </w:rPr>
        <w:drawing>
          <wp:inline distT="0" distB="0" distL="0" distR="0" wp14:anchorId="517D97C5" wp14:editId="200DA0D4">
            <wp:extent cx="5592726" cy="3551274"/>
            <wp:effectExtent l="0" t="0" r="27305" b="11430"/>
            <wp:docPr id="3" name="Grafikon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B267C" w:rsidRPr="00AB267C" w:rsidRDefault="00AB267C" w:rsidP="0079438E">
      <w:pPr>
        <w:rPr>
          <w:rFonts w:ascii="Times New Roman" w:hAnsi="Times New Roman" w:cs="Times New Roman"/>
          <w:sz w:val="20"/>
        </w:rPr>
      </w:pPr>
      <w:r w:rsidRPr="00AB267C">
        <w:rPr>
          <w:rFonts w:ascii="Times New Roman" w:hAnsi="Times New Roman" w:cs="Times New Roman"/>
          <w:sz w:val="20"/>
        </w:rPr>
        <w:t>Izvor: HZZ, Registrirana nezaposlenost; HZMO, Statističke informacije, po godinama; obrada: ZADRA</w:t>
      </w:r>
    </w:p>
    <w:p w:rsidR="00F768B0" w:rsidRDefault="00F768B0" w:rsidP="00F768B0">
      <w:pPr>
        <w:pStyle w:val="Opisslike"/>
        <w:keepNext/>
      </w:pPr>
      <w:bookmarkStart w:id="14" w:name="_Toc351538468"/>
      <w:r>
        <w:t xml:space="preserve">Slika </w:t>
      </w:r>
      <w:fldSimple w:instr=" SEQ Slika \* ARABIC ">
        <w:r w:rsidR="001E7A09">
          <w:rPr>
            <w:noProof/>
          </w:rPr>
          <w:t>5</w:t>
        </w:r>
      </w:fldSimple>
      <w:r>
        <w:t>.: Indeks broja nezaposlenih po godinama i izabranim gradovima</w:t>
      </w:r>
      <w:r w:rsidR="00BC6E35">
        <w:t>, 2001=100</w:t>
      </w:r>
      <w:bookmarkEnd w:id="14"/>
    </w:p>
    <w:p w:rsidR="00EE2E05" w:rsidRDefault="00614276" w:rsidP="00F768B0">
      <w:pPr>
        <w:spacing w:after="0"/>
        <w:rPr>
          <w:rFonts w:ascii="Times New Roman" w:hAnsi="Times New Roman" w:cs="Times New Roman"/>
        </w:rPr>
      </w:pPr>
      <w:r>
        <w:rPr>
          <w:noProof/>
          <w:lang w:eastAsia="hr-HR"/>
        </w:rPr>
        <w:drawing>
          <wp:inline distT="0" distB="0" distL="0" distR="0" wp14:anchorId="2BDCB11A" wp14:editId="577E8097">
            <wp:extent cx="5686425" cy="3476625"/>
            <wp:effectExtent l="0" t="0" r="9525" b="9525"/>
            <wp:docPr id="4" name="Grafikon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768B0" w:rsidRPr="00AB267C" w:rsidRDefault="00F768B0" w:rsidP="00F768B0">
      <w:pPr>
        <w:rPr>
          <w:rFonts w:ascii="Times New Roman" w:hAnsi="Times New Roman" w:cs="Times New Roman"/>
          <w:sz w:val="20"/>
        </w:rPr>
      </w:pPr>
      <w:r w:rsidRPr="00AB267C">
        <w:rPr>
          <w:rFonts w:ascii="Times New Roman" w:hAnsi="Times New Roman" w:cs="Times New Roman"/>
          <w:sz w:val="20"/>
        </w:rPr>
        <w:t>Izvor: HZZ, Registrirana nezaposlenost, po godinama; obrada: ZADRA</w:t>
      </w:r>
    </w:p>
    <w:p w:rsidR="0079438E" w:rsidRPr="00AA3CB0" w:rsidRDefault="004B1489" w:rsidP="00AA3CB0">
      <w:pPr>
        <w:spacing w:line="240" w:lineRule="auto"/>
        <w:jc w:val="both"/>
        <w:rPr>
          <w:rFonts w:ascii="Corbel" w:hAnsi="Corbel" w:cs="Times New Roman"/>
        </w:rPr>
      </w:pPr>
      <w:r w:rsidRPr="00AA3CB0">
        <w:rPr>
          <w:rFonts w:ascii="Corbel" w:hAnsi="Corbel" w:cs="Times New Roman"/>
        </w:rPr>
        <w:lastRenderedPageBreak/>
        <w:t xml:space="preserve">U prijašnjim primjerima </w:t>
      </w:r>
      <w:r w:rsidR="00376E49" w:rsidRPr="00AA3CB0">
        <w:rPr>
          <w:rFonts w:ascii="Corbel" w:hAnsi="Corbel" w:cs="Times New Roman"/>
        </w:rPr>
        <w:t xml:space="preserve">je </w:t>
      </w:r>
      <w:r w:rsidRPr="00AA3CB0">
        <w:rPr>
          <w:rFonts w:ascii="Corbel" w:hAnsi="Corbel" w:cs="Times New Roman"/>
        </w:rPr>
        <w:t>grad Zadar uspoređivan sa gradovima iz Jadra</w:t>
      </w:r>
      <w:r w:rsidR="00881159" w:rsidRPr="00AA3CB0">
        <w:rPr>
          <w:rFonts w:ascii="Corbel" w:hAnsi="Corbel" w:cs="Times New Roman"/>
        </w:rPr>
        <w:t>nske Hrvatske kako bi se dobila</w:t>
      </w:r>
      <w:r w:rsidRPr="00AA3CB0">
        <w:rPr>
          <w:rFonts w:ascii="Corbel" w:hAnsi="Corbel" w:cs="Times New Roman"/>
        </w:rPr>
        <w:t xml:space="preserve"> slika o ekonomskim </w:t>
      </w:r>
      <w:r w:rsidRPr="00FB2B17">
        <w:rPr>
          <w:rFonts w:ascii="Corbel" w:hAnsi="Corbel" w:cs="Times New Roman"/>
        </w:rPr>
        <w:t xml:space="preserve">performansama grada. No, koliko je Zadar bitan za vlastitu županiju pokazuju sljedeći podaci. </w:t>
      </w:r>
      <w:r w:rsidR="0079438E" w:rsidRPr="00FB2B17">
        <w:rPr>
          <w:rFonts w:ascii="Corbel" w:hAnsi="Corbel" w:cs="Times New Roman"/>
        </w:rPr>
        <w:t>Na županijskoj razini grad Zadar kao županijsko središte ima najveći broj zaposlenih i nezaposlenih u županiji. Štoviše, usporedbom podatak o broju zaposlenih za grad i županiju proizlazi da je u gradu Zadru preko 70 % zaposlenih cijele županije</w:t>
      </w:r>
      <w:r w:rsidR="0079438E" w:rsidRPr="00FB2B17">
        <w:rPr>
          <w:rStyle w:val="Referencafusnote"/>
          <w:rFonts w:ascii="Corbel" w:hAnsi="Corbel" w:cs="Times New Roman"/>
        </w:rPr>
        <w:footnoteReference w:id="3"/>
      </w:r>
      <w:r w:rsidR="0079438E" w:rsidRPr="00FB2B17">
        <w:rPr>
          <w:rFonts w:ascii="Corbel" w:hAnsi="Corbel" w:cs="Times New Roman"/>
        </w:rPr>
        <w:t xml:space="preserve"> što opravdava reputaciju urbanog centra i „motora“ razvoja naše županije. Navedeno potvrđuju i podaci o stopi registrirane nezaposlenosti iz sljedeće tablice.</w:t>
      </w:r>
      <w:r w:rsidR="00F612CD" w:rsidRPr="00FB2B17">
        <w:rPr>
          <w:rFonts w:ascii="Corbel" w:hAnsi="Corbel" w:cs="Times New Roman"/>
        </w:rPr>
        <w:t xml:space="preserve"> Iz tablice vidimo da je Zadarska županija</w:t>
      </w:r>
      <w:r w:rsidR="00C0250D" w:rsidRPr="00FB2B17">
        <w:rPr>
          <w:rFonts w:ascii="Corbel" w:hAnsi="Corbel" w:cs="Times New Roman"/>
        </w:rPr>
        <w:t xml:space="preserve"> prema stopi nezaposlenosti</w:t>
      </w:r>
      <w:r w:rsidR="00F612CD" w:rsidRPr="00FB2B17">
        <w:rPr>
          <w:rFonts w:ascii="Corbel" w:hAnsi="Corbel" w:cs="Times New Roman"/>
        </w:rPr>
        <w:t xml:space="preserve"> ispod prosjeka RH dok je grad Zadar </w:t>
      </w:r>
      <w:r w:rsidRPr="00FB2B17">
        <w:rPr>
          <w:rFonts w:ascii="Corbel" w:hAnsi="Corbel" w:cs="Times New Roman"/>
        </w:rPr>
        <w:t>kao i većina naših gradova bolji od prosjeka RH.</w:t>
      </w:r>
    </w:p>
    <w:p w:rsidR="00F612CD" w:rsidRDefault="00F612CD" w:rsidP="00F612CD">
      <w:pPr>
        <w:pStyle w:val="Opisslike"/>
        <w:keepNext/>
      </w:pPr>
      <w:bookmarkStart w:id="15" w:name="_Toc351538412"/>
      <w:r>
        <w:t xml:space="preserve">Tablica </w:t>
      </w:r>
      <w:fldSimple w:instr=" SEQ Tablica \* ARABIC ">
        <w:r w:rsidR="00280AAE">
          <w:rPr>
            <w:noProof/>
          </w:rPr>
          <w:t>7</w:t>
        </w:r>
      </w:fldSimple>
      <w:r>
        <w:t xml:space="preserve">.: </w:t>
      </w:r>
      <w:r w:rsidRPr="00F612CD">
        <w:t>Stopa registrirane nezaposlenosti za grad, županiju i RH u zadnje tri godine</w:t>
      </w:r>
      <w:bookmarkEnd w:id="15"/>
    </w:p>
    <w:tbl>
      <w:tblPr>
        <w:tblW w:w="7340" w:type="dxa"/>
        <w:tblInd w:w="93" w:type="dxa"/>
        <w:tblLayout w:type="fixed"/>
        <w:tblLook w:val="04A0" w:firstRow="1" w:lastRow="0" w:firstColumn="1" w:lastColumn="0" w:noHBand="0" w:noVBand="1"/>
      </w:tblPr>
      <w:tblGrid>
        <w:gridCol w:w="2920"/>
        <w:gridCol w:w="1473"/>
        <w:gridCol w:w="1473"/>
        <w:gridCol w:w="1474"/>
      </w:tblGrid>
      <w:tr w:rsidR="00F612CD" w:rsidRPr="00F612CD" w:rsidTr="00747F8F">
        <w:trPr>
          <w:trHeight w:val="300"/>
        </w:trPr>
        <w:tc>
          <w:tcPr>
            <w:tcW w:w="2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 </w:t>
            </w:r>
          </w:p>
        </w:tc>
        <w:tc>
          <w:tcPr>
            <w:tcW w:w="1473" w:type="dxa"/>
            <w:tcBorders>
              <w:top w:val="single" w:sz="4" w:space="0" w:color="auto"/>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2009.</w:t>
            </w:r>
          </w:p>
        </w:tc>
        <w:tc>
          <w:tcPr>
            <w:tcW w:w="1473" w:type="dxa"/>
            <w:tcBorders>
              <w:top w:val="single" w:sz="4" w:space="0" w:color="auto"/>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2010.</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2011.</w:t>
            </w:r>
          </w:p>
        </w:tc>
      </w:tr>
      <w:tr w:rsidR="00F612CD" w:rsidRPr="00F612CD" w:rsidTr="00747F8F">
        <w:trPr>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Grad Zadar</w:t>
            </w:r>
          </w:p>
        </w:tc>
        <w:tc>
          <w:tcPr>
            <w:tcW w:w="1473"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12,11</w:t>
            </w:r>
          </w:p>
        </w:tc>
        <w:tc>
          <w:tcPr>
            <w:tcW w:w="1473"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12,76</w:t>
            </w:r>
          </w:p>
        </w:tc>
        <w:tc>
          <w:tcPr>
            <w:tcW w:w="1474"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12,37</w:t>
            </w:r>
          </w:p>
        </w:tc>
      </w:tr>
      <w:tr w:rsidR="00F612CD" w:rsidRPr="00F612CD" w:rsidTr="00747F8F">
        <w:trPr>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Zadarska županija</w:t>
            </w:r>
          </w:p>
        </w:tc>
        <w:tc>
          <w:tcPr>
            <w:tcW w:w="1473"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18,7</w:t>
            </w:r>
          </w:p>
        </w:tc>
        <w:tc>
          <w:tcPr>
            <w:tcW w:w="1473"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21,10</w:t>
            </w:r>
          </w:p>
        </w:tc>
        <w:tc>
          <w:tcPr>
            <w:tcW w:w="1474"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21,00</w:t>
            </w:r>
          </w:p>
        </w:tc>
      </w:tr>
      <w:tr w:rsidR="00F612CD" w:rsidRPr="00F612CD" w:rsidTr="00747F8F">
        <w:trPr>
          <w:trHeight w:val="300"/>
        </w:trPr>
        <w:tc>
          <w:tcPr>
            <w:tcW w:w="2920" w:type="dxa"/>
            <w:tcBorders>
              <w:top w:val="nil"/>
              <w:left w:val="single" w:sz="4" w:space="0" w:color="auto"/>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rPr>
                <w:rFonts w:ascii="Times New Roman" w:eastAsia="Times New Roman" w:hAnsi="Times New Roman" w:cs="Times New Roman"/>
                <w:b/>
                <w:color w:val="000000"/>
                <w:sz w:val="20"/>
                <w:lang w:eastAsia="hr-HR"/>
              </w:rPr>
            </w:pPr>
            <w:r w:rsidRPr="00F612CD">
              <w:rPr>
                <w:rFonts w:ascii="Times New Roman" w:eastAsia="Times New Roman" w:hAnsi="Times New Roman" w:cs="Times New Roman"/>
                <w:b/>
                <w:color w:val="000000"/>
                <w:sz w:val="20"/>
                <w:lang w:eastAsia="hr-HR"/>
              </w:rPr>
              <w:t>RH</w:t>
            </w:r>
          </w:p>
        </w:tc>
        <w:tc>
          <w:tcPr>
            <w:tcW w:w="1473"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15,1</w:t>
            </w:r>
          </w:p>
        </w:tc>
        <w:tc>
          <w:tcPr>
            <w:tcW w:w="1473"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18,20</w:t>
            </w:r>
          </w:p>
        </w:tc>
        <w:tc>
          <w:tcPr>
            <w:tcW w:w="1474" w:type="dxa"/>
            <w:tcBorders>
              <w:top w:val="nil"/>
              <w:left w:val="nil"/>
              <w:bottom w:val="single" w:sz="4" w:space="0" w:color="auto"/>
              <w:right w:val="single" w:sz="4" w:space="0" w:color="auto"/>
            </w:tcBorders>
            <w:shd w:val="clear" w:color="auto" w:fill="auto"/>
            <w:noWrap/>
            <w:vAlign w:val="bottom"/>
            <w:hideMark/>
          </w:tcPr>
          <w:p w:rsidR="00F612CD" w:rsidRPr="00F612CD" w:rsidRDefault="00F612CD" w:rsidP="00F612CD">
            <w:pPr>
              <w:spacing w:after="0" w:line="240" w:lineRule="auto"/>
              <w:jc w:val="right"/>
              <w:rPr>
                <w:rFonts w:ascii="Times New Roman" w:eastAsia="Times New Roman" w:hAnsi="Times New Roman" w:cs="Times New Roman"/>
                <w:color w:val="000000"/>
                <w:sz w:val="20"/>
                <w:lang w:eastAsia="hr-HR"/>
              </w:rPr>
            </w:pPr>
            <w:r w:rsidRPr="00F612CD">
              <w:rPr>
                <w:rFonts w:ascii="Times New Roman" w:eastAsia="Times New Roman" w:hAnsi="Times New Roman" w:cs="Times New Roman"/>
                <w:color w:val="000000"/>
                <w:sz w:val="20"/>
                <w:lang w:eastAsia="hr-HR"/>
              </w:rPr>
              <w:t>19,10</w:t>
            </w:r>
          </w:p>
        </w:tc>
      </w:tr>
    </w:tbl>
    <w:p w:rsidR="0079438E" w:rsidRPr="00F612CD" w:rsidRDefault="00F612CD" w:rsidP="0079438E">
      <w:pPr>
        <w:rPr>
          <w:rFonts w:ascii="Times New Roman" w:hAnsi="Times New Roman" w:cs="Times New Roman"/>
          <w:sz w:val="20"/>
        </w:rPr>
      </w:pPr>
      <w:r w:rsidRPr="00F612CD">
        <w:rPr>
          <w:rFonts w:ascii="Times New Roman" w:hAnsi="Times New Roman" w:cs="Times New Roman"/>
          <w:sz w:val="20"/>
        </w:rPr>
        <w:t>Izvor: DZS, Statističke informacije; HZMO, Statističke informacije; obrada: ZADRA</w:t>
      </w:r>
    </w:p>
    <w:p w:rsidR="0079438E" w:rsidRDefault="00881159" w:rsidP="0079438E">
      <w:pPr>
        <w:rPr>
          <w:rFonts w:ascii="Times New Roman" w:hAnsi="Times New Roman" w:cs="Times New Roman"/>
        </w:rPr>
      </w:pPr>
      <w:r>
        <w:rPr>
          <w:rFonts w:ascii="Times New Roman" w:hAnsi="Times New Roman" w:cs="Times New Roman"/>
        </w:rPr>
        <w:t>Krivulje i</w:t>
      </w:r>
      <w:r w:rsidR="00376E49">
        <w:rPr>
          <w:rFonts w:ascii="Times New Roman" w:hAnsi="Times New Roman" w:cs="Times New Roman"/>
        </w:rPr>
        <w:t>ndeks</w:t>
      </w:r>
      <w:r>
        <w:rPr>
          <w:rFonts w:ascii="Times New Roman" w:hAnsi="Times New Roman" w:cs="Times New Roman"/>
        </w:rPr>
        <w:t>a</w:t>
      </w:r>
      <w:r w:rsidR="00376E49">
        <w:rPr>
          <w:rFonts w:ascii="Times New Roman" w:hAnsi="Times New Roman" w:cs="Times New Roman"/>
        </w:rPr>
        <w:t xml:space="preserve"> zaposlenosti i indeks</w:t>
      </w:r>
      <w:r>
        <w:rPr>
          <w:rFonts w:ascii="Times New Roman" w:hAnsi="Times New Roman" w:cs="Times New Roman"/>
        </w:rPr>
        <w:t>a</w:t>
      </w:r>
      <w:r w:rsidR="00376E49">
        <w:rPr>
          <w:rFonts w:ascii="Times New Roman" w:hAnsi="Times New Roman" w:cs="Times New Roman"/>
        </w:rPr>
        <w:t xml:space="preserve"> nezaposlenosti za grad Zadar </w:t>
      </w:r>
      <w:r>
        <w:rPr>
          <w:rFonts w:ascii="Times New Roman" w:hAnsi="Times New Roman" w:cs="Times New Roman"/>
        </w:rPr>
        <w:t>pokazuju</w:t>
      </w:r>
      <w:r w:rsidR="00376E49">
        <w:rPr>
          <w:rFonts w:ascii="Times New Roman" w:hAnsi="Times New Roman" w:cs="Times New Roman"/>
        </w:rPr>
        <w:t xml:space="preserve"> „zrcalni efekt“, tj.</w:t>
      </w:r>
      <w:r w:rsidR="00D63A3A">
        <w:rPr>
          <w:rFonts w:ascii="Times New Roman" w:hAnsi="Times New Roman" w:cs="Times New Roman"/>
        </w:rPr>
        <w:t xml:space="preserve"> </w:t>
      </w:r>
      <w:r w:rsidR="00376E49">
        <w:rPr>
          <w:rFonts w:ascii="Times New Roman" w:hAnsi="Times New Roman" w:cs="Times New Roman"/>
        </w:rPr>
        <w:t>u godinama</w:t>
      </w:r>
      <w:r w:rsidR="00D63A3A">
        <w:rPr>
          <w:rFonts w:ascii="Times New Roman" w:hAnsi="Times New Roman" w:cs="Times New Roman"/>
        </w:rPr>
        <w:t xml:space="preserve"> u</w:t>
      </w:r>
      <w:r w:rsidR="00376E49">
        <w:rPr>
          <w:rFonts w:ascii="Times New Roman" w:hAnsi="Times New Roman" w:cs="Times New Roman"/>
        </w:rPr>
        <w:t xml:space="preserve"> kojima zaposlenost raste, nezaposlenost pada i obratno. </w:t>
      </w:r>
    </w:p>
    <w:p w:rsidR="00376E49" w:rsidRDefault="00376E49" w:rsidP="00376E49">
      <w:pPr>
        <w:pStyle w:val="Opisslike"/>
        <w:keepNext/>
      </w:pPr>
      <w:bookmarkStart w:id="16" w:name="_Toc351538469"/>
      <w:r>
        <w:t xml:space="preserve">Slika </w:t>
      </w:r>
      <w:fldSimple w:instr=" SEQ Slika \* ARABIC ">
        <w:r w:rsidR="001E7A09">
          <w:rPr>
            <w:noProof/>
          </w:rPr>
          <w:t>6</w:t>
        </w:r>
      </w:fldSimple>
      <w:r>
        <w:t>.: Indeks broja zaposlenih i broja nezaposlenih za grad Zadar po godinama, 2001=100</w:t>
      </w:r>
      <w:bookmarkEnd w:id="16"/>
    </w:p>
    <w:p w:rsidR="00376E49" w:rsidRDefault="00376E49" w:rsidP="00857E1D">
      <w:pPr>
        <w:spacing w:after="0"/>
        <w:rPr>
          <w:rFonts w:ascii="Times New Roman" w:hAnsi="Times New Roman" w:cs="Times New Roman"/>
        </w:rPr>
      </w:pPr>
      <w:r>
        <w:rPr>
          <w:noProof/>
          <w:lang w:eastAsia="hr-HR"/>
        </w:rPr>
        <w:drawing>
          <wp:inline distT="0" distB="0" distL="0" distR="0" wp14:anchorId="680FA63E" wp14:editId="5BE436F3">
            <wp:extent cx="5362575" cy="3390900"/>
            <wp:effectExtent l="0" t="0" r="9525" b="19050"/>
            <wp:docPr id="6" name="Grafikon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9438E" w:rsidRPr="00E95E8B" w:rsidRDefault="00857E1D" w:rsidP="0079438E">
      <w:pPr>
        <w:rPr>
          <w:rFonts w:ascii="Times New Roman" w:hAnsi="Times New Roman" w:cs="Times New Roman"/>
          <w:sz w:val="20"/>
        </w:rPr>
      </w:pPr>
      <w:r w:rsidRPr="00F612CD">
        <w:rPr>
          <w:rFonts w:ascii="Times New Roman" w:hAnsi="Times New Roman" w:cs="Times New Roman"/>
          <w:sz w:val="20"/>
        </w:rPr>
        <w:t>Izvor: DZS, Statističke informacije; HZMO, Statističke infor</w:t>
      </w:r>
      <w:r w:rsidR="00E95E8B">
        <w:rPr>
          <w:rFonts w:ascii="Times New Roman" w:hAnsi="Times New Roman" w:cs="Times New Roman"/>
          <w:sz w:val="20"/>
        </w:rPr>
        <w:t>macije; obrada: ZADRA</w:t>
      </w:r>
    </w:p>
    <w:p w:rsidR="00FB2B17" w:rsidRDefault="00FB2B17" w:rsidP="00FB2B17">
      <w:pPr>
        <w:rPr>
          <w:rFonts w:ascii="Times New Roman" w:hAnsi="Times New Roman" w:cs="Times New Roman"/>
          <w:b/>
        </w:rPr>
      </w:pPr>
    </w:p>
    <w:p w:rsidR="00FB2B17" w:rsidRDefault="00FB2B17" w:rsidP="00FB2B17">
      <w:pPr>
        <w:rPr>
          <w:rFonts w:ascii="Times New Roman" w:hAnsi="Times New Roman" w:cs="Times New Roman"/>
          <w:b/>
        </w:rPr>
      </w:pPr>
    </w:p>
    <w:p w:rsidR="00FB2B17" w:rsidRDefault="00FB2B17" w:rsidP="00FB2B17">
      <w:pPr>
        <w:rPr>
          <w:rFonts w:ascii="Times New Roman" w:hAnsi="Times New Roman" w:cs="Times New Roman"/>
          <w:b/>
        </w:rPr>
      </w:pPr>
    </w:p>
    <w:p w:rsidR="002E6CB9" w:rsidRPr="00FB2B17" w:rsidRDefault="00FB2B17" w:rsidP="00FB2B17">
      <w:pPr>
        <w:spacing w:after="120" w:line="240" w:lineRule="auto"/>
        <w:jc w:val="both"/>
        <w:rPr>
          <w:rFonts w:ascii="Corbel" w:hAnsi="Corbel" w:cs="Times New Roman"/>
          <w:b/>
        </w:rPr>
      </w:pPr>
      <w:r w:rsidRPr="00FB2B17">
        <w:rPr>
          <w:rFonts w:ascii="Corbel" w:hAnsi="Corbel" w:cs="Times New Roman"/>
          <w:b/>
        </w:rPr>
        <w:lastRenderedPageBreak/>
        <w:t xml:space="preserve">Struktura </w:t>
      </w:r>
      <w:r w:rsidR="00426B18" w:rsidRPr="00FB2B17">
        <w:rPr>
          <w:rFonts w:ascii="Corbel" w:hAnsi="Corbel" w:cs="Times New Roman"/>
          <w:b/>
        </w:rPr>
        <w:t>nezaposlenosti</w:t>
      </w:r>
    </w:p>
    <w:p w:rsidR="002E6CB9" w:rsidRPr="00FB2B17" w:rsidRDefault="00C0250D" w:rsidP="00FB2B17">
      <w:pPr>
        <w:spacing w:line="240" w:lineRule="auto"/>
        <w:jc w:val="both"/>
        <w:rPr>
          <w:rFonts w:ascii="Corbel" w:hAnsi="Corbel" w:cs="Times New Roman"/>
        </w:rPr>
      </w:pPr>
      <w:r w:rsidRPr="00FB2B17">
        <w:rPr>
          <w:rFonts w:ascii="Corbel" w:hAnsi="Corbel" w:cs="Times New Roman"/>
        </w:rPr>
        <w:t>Analiza strukture nezaposlenosti pokazuje nam kakve je učinke gospodarska kriza imala na radnu snagu prema njenoj strukturi (po dobi, spolu i razini obrazovanja nezaposlenih osoba).</w:t>
      </w:r>
      <w:r w:rsidR="00D2053B" w:rsidRPr="00FB2B17">
        <w:rPr>
          <w:rFonts w:ascii="Corbel" w:hAnsi="Corbel" w:cs="Times New Roman"/>
        </w:rPr>
        <w:t xml:space="preserve"> Podaci o broju nezaposlenih preuzeti su od Hrvatskog zavoda za zapošljavanje i prikazuju broj nezaposlenih na dan 31.12.</w:t>
      </w:r>
      <w:r w:rsidR="00E95E8B" w:rsidRPr="00FB2B17">
        <w:rPr>
          <w:rFonts w:ascii="Corbel" w:hAnsi="Corbel" w:cs="Times New Roman"/>
        </w:rPr>
        <w:t xml:space="preserve"> </w:t>
      </w:r>
      <w:r w:rsidR="008672EB" w:rsidRPr="00FB2B17">
        <w:rPr>
          <w:rFonts w:ascii="Corbel" w:hAnsi="Corbel" w:cs="Times New Roman"/>
        </w:rPr>
        <w:t xml:space="preserve">U strukturi nezaposlenosti prema razini obrazovanja od ukupno 4.740 nezaposlenih osoba u 2011. godini najviše nezaposlenih </w:t>
      </w:r>
      <w:r w:rsidR="008672EB" w:rsidRPr="00FB2B17">
        <w:rPr>
          <w:rFonts w:ascii="Corbel" w:hAnsi="Corbel" w:cs="Times New Roman"/>
          <w:b/>
        </w:rPr>
        <w:t>čine osobe sa završenom srednjom  školom</w:t>
      </w:r>
      <w:r w:rsidR="008672EB" w:rsidRPr="00FB2B17">
        <w:rPr>
          <w:rFonts w:ascii="Corbel" w:hAnsi="Corbel" w:cs="Times New Roman"/>
        </w:rPr>
        <w:t xml:space="preserve"> (čak 60% ako zbrojimo trogodišnje i četverogodišnje </w:t>
      </w:r>
      <w:proofErr w:type="spellStart"/>
      <w:r w:rsidR="008672EB" w:rsidRPr="00FB2B17">
        <w:rPr>
          <w:rFonts w:ascii="Corbel" w:hAnsi="Corbel" w:cs="Times New Roman"/>
        </w:rPr>
        <w:t>SŠ</w:t>
      </w:r>
      <w:proofErr w:type="spellEnd"/>
      <w:r w:rsidR="008672EB" w:rsidRPr="00FB2B17">
        <w:rPr>
          <w:rFonts w:ascii="Corbel" w:hAnsi="Corbel" w:cs="Times New Roman"/>
        </w:rPr>
        <w:t xml:space="preserve"> obrazovanje). Zatim slijede sa 16% udjela nezaposleni sa osnovnom školom, te nezaposleni sa završenim fakultetom, ma</w:t>
      </w:r>
      <w:r w:rsidR="00D2053B" w:rsidRPr="00FB2B17">
        <w:rPr>
          <w:rFonts w:ascii="Corbel" w:hAnsi="Corbel" w:cs="Times New Roman"/>
        </w:rPr>
        <w:t>gisterijem ili doktoratom (13%).</w:t>
      </w:r>
    </w:p>
    <w:p w:rsidR="008672EB" w:rsidRDefault="008672EB" w:rsidP="008672EB">
      <w:pPr>
        <w:pStyle w:val="Opisslike"/>
        <w:keepNext/>
      </w:pPr>
      <w:bookmarkStart w:id="17" w:name="_Toc351538470"/>
      <w:r>
        <w:t xml:space="preserve">Slika </w:t>
      </w:r>
      <w:fldSimple w:instr=" SEQ Slika \* ARABIC ">
        <w:r w:rsidR="001E7A09">
          <w:rPr>
            <w:noProof/>
          </w:rPr>
          <w:t>7</w:t>
        </w:r>
      </w:fldSimple>
      <w:r>
        <w:t>.: Struktura nezaposlenosti za grad Zadar prema razini obrazovanja u 2011. godini</w:t>
      </w:r>
      <w:bookmarkEnd w:id="17"/>
    </w:p>
    <w:p w:rsidR="00D65C64" w:rsidRPr="00B72AC7" w:rsidRDefault="008672EB" w:rsidP="008672EB">
      <w:pPr>
        <w:spacing w:after="0"/>
        <w:rPr>
          <w:sz w:val="40"/>
          <w:highlight w:val="yellow"/>
        </w:rPr>
      </w:pPr>
      <w:r>
        <w:rPr>
          <w:noProof/>
          <w:lang w:eastAsia="hr-HR"/>
        </w:rPr>
        <w:drawing>
          <wp:inline distT="0" distB="0" distL="0" distR="0" wp14:anchorId="2575AEF8" wp14:editId="43887CA2">
            <wp:extent cx="5199321" cy="2679404"/>
            <wp:effectExtent l="0" t="0" r="20955" b="26035"/>
            <wp:docPr id="7" name="Grafikon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672EB" w:rsidRPr="00AB267C" w:rsidRDefault="008672EB" w:rsidP="008672EB">
      <w:pPr>
        <w:rPr>
          <w:rFonts w:ascii="Times New Roman" w:hAnsi="Times New Roman" w:cs="Times New Roman"/>
          <w:sz w:val="20"/>
        </w:rPr>
      </w:pPr>
      <w:r w:rsidRPr="00AB267C">
        <w:rPr>
          <w:rFonts w:ascii="Times New Roman" w:hAnsi="Times New Roman" w:cs="Times New Roman"/>
          <w:sz w:val="20"/>
        </w:rPr>
        <w:t xml:space="preserve">Izvor: HZZ, Registrirana nezaposlenost, </w:t>
      </w:r>
      <w:r>
        <w:rPr>
          <w:rFonts w:ascii="Times New Roman" w:hAnsi="Times New Roman" w:cs="Times New Roman"/>
          <w:sz w:val="20"/>
        </w:rPr>
        <w:t>2011.</w:t>
      </w:r>
      <w:r w:rsidRPr="00AB267C">
        <w:rPr>
          <w:rFonts w:ascii="Times New Roman" w:hAnsi="Times New Roman" w:cs="Times New Roman"/>
          <w:sz w:val="20"/>
        </w:rPr>
        <w:t>; obrada: ZADRA</w:t>
      </w:r>
    </w:p>
    <w:p w:rsidR="009F4E5A" w:rsidRPr="00FB2B17" w:rsidRDefault="008672EB" w:rsidP="004C6931">
      <w:pPr>
        <w:jc w:val="both"/>
        <w:rPr>
          <w:rFonts w:ascii="Corbel" w:hAnsi="Corbel" w:cs="Times New Roman"/>
        </w:rPr>
      </w:pPr>
      <w:r w:rsidRPr="00FB2B17">
        <w:rPr>
          <w:rFonts w:ascii="Corbel" w:hAnsi="Corbel" w:cs="Times New Roman"/>
        </w:rPr>
        <w:t xml:space="preserve">Podaci o promjenama u strukturi nezaposlenosti kroz godine pokazuju </w:t>
      </w:r>
      <w:r w:rsidRPr="00FB2B17">
        <w:rPr>
          <w:rFonts w:ascii="Corbel" w:hAnsi="Corbel" w:cs="Times New Roman"/>
          <w:b/>
        </w:rPr>
        <w:t xml:space="preserve">negativne pomake u strukturi nezaposlenih sa </w:t>
      </w:r>
      <w:r w:rsidR="006E4D1B" w:rsidRPr="00FB2B17">
        <w:rPr>
          <w:rFonts w:ascii="Corbel" w:hAnsi="Corbel" w:cs="Times New Roman"/>
          <w:b/>
        </w:rPr>
        <w:t>VSS obrazovanjem</w:t>
      </w:r>
      <w:r w:rsidR="006E4D1B" w:rsidRPr="00FB2B17">
        <w:rPr>
          <w:rFonts w:ascii="Corbel" w:hAnsi="Corbel" w:cs="Times New Roman"/>
        </w:rPr>
        <w:t xml:space="preserve"> što ukazuje na </w:t>
      </w:r>
      <w:r w:rsidR="009F4E5A" w:rsidRPr="00FB2B17">
        <w:rPr>
          <w:rFonts w:ascii="Corbel" w:hAnsi="Corbel" w:cs="Times New Roman"/>
        </w:rPr>
        <w:t>slabljenje i nestajanje</w:t>
      </w:r>
      <w:r w:rsidR="006E4D1B" w:rsidRPr="00FB2B17">
        <w:rPr>
          <w:rFonts w:ascii="Corbel" w:hAnsi="Corbel" w:cs="Times New Roman"/>
        </w:rPr>
        <w:t xml:space="preserve"> gospodarskih subjekata koji zapošljavaju v</w:t>
      </w:r>
      <w:r w:rsidR="00C9418C" w:rsidRPr="00FB2B17">
        <w:rPr>
          <w:rFonts w:ascii="Corbel" w:hAnsi="Corbel" w:cs="Times New Roman"/>
        </w:rPr>
        <w:t>isoko kvalificiranu radnu snagu</w:t>
      </w:r>
      <w:r w:rsidR="009F4E5A" w:rsidRPr="00FB2B17">
        <w:rPr>
          <w:rFonts w:ascii="Corbel" w:hAnsi="Corbel" w:cs="Times New Roman"/>
        </w:rPr>
        <w:t>, a</w:t>
      </w:r>
      <w:r w:rsidR="00C9418C" w:rsidRPr="00FB2B17">
        <w:rPr>
          <w:rFonts w:ascii="Corbel" w:hAnsi="Corbel" w:cs="Times New Roman"/>
        </w:rPr>
        <w:t xml:space="preserve"> što</w:t>
      </w:r>
      <w:r w:rsidR="009F4E5A" w:rsidRPr="00FB2B17">
        <w:rPr>
          <w:rFonts w:ascii="Corbel" w:hAnsi="Corbel" w:cs="Times New Roman"/>
        </w:rPr>
        <w:t xml:space="preserve"> također govori i o</w:t>
      </w:r>
      <w:r w:rsidR="00C9418C" w:rsidRPr="00FB2B17">
        <w:rPr>
          <w:rFonts w:ascii="Corbel" w:hAnsi="Corbel" w:cs="Times New Roman"/>
        </w:rPr>
        <w:t xml:space="preserve"> </w:t>
      </w:r>
      <w:r w:rsidR="00D2053B" w:rsidRPr="00FB2B17">
        <w:rPr>
          <w:rFonts w:ascii="Corbel" w:hAnsi="Corbel" w:cs="Times New Roman"/>
        </w:rPr>
        <w:t xml:space="preserve">niskoj </w:t>
      </w:r>
      <w:r w:rsidR="00C9418C" w:rsidRPr="00FB2B17">
        <w:rPr>
          <w:rFonts w:ascii="Corbel" w:hAnsi="Corbel" w:cs="Times New Roman"/>
        </w:rPr>
        <w:t xml:space="preserve">konkurentnosti </w:t>
      </w:r>
      <w:r w:rsidR="00D2053B" w:rsidRPr="00FB2B17">
        <w:rPr>
          <w:rFonts w:ascii="Corbel" w:hAnsi="Corbel" w:cs="Times New Roman"/>
        </w:rPr>
        <w:t>lokalnog</w:t>
      </w:r>
      <w:r w:rsidR="009F4E5A" w:rsidRPr="00FB2B17">
        <w:rPr>
          <w:rFonts w:ascii="Corbel" w:hAnsi="Corbel" w:cs="Times New Roman"/>
        </w:rPr>
        <w:t xml:space="preserve"> </w:t>
      </w:r>
      <w:r w:rsidR="00C9418C" w:rsidRPr="00FB2B17">
        <w:rPr>
          <w:rFonts w:ascii="Corbel" w:hAnsi="Corbel" w:cs="Times New Roman"/>
        </w:rPr>
        <w:t xml:space="preserve">gospodarstva. </w:t>
      </w:r>
      <w:r w:rsidR="009E5F95" w:rsidRPr="00FB2B17">
        <w:rPr>
          <w:rFonts w:ascii="Corbel" w:hAnsi="Corbel" w:cs="Times New Roman"/>
          <w:b/>
        </w:rPr>
        <w:t xml:space="preserve"> U odnosu na 2008. godinu u 2011. godini broj visokoobrazovanih nezaposlenih osoba u Zadru je porastao za 80%</w:t>
      </w:r>
      <w:r w:rsidR="009E5F95" w:rsidRPr="00FB2B17">
        <w:rPr>
          <w:rFonts w:ascii="Corbel" w:hAnsi="Corbel" w:cs="Times New Roman"/>
        </w:rPr>
        <w:t xml:space="preserve">, te je povećao svoj udio u ukupnoj nezaposlenosti sa 8,42% na 12,97%. </w:t>
      </w:r>
      <w:r w:rsidR="00C9418C" w:rsidRPr="00FB2B17">
        <w:rPr>
          <w:rFonts w:ascii="Corbel" w:hAnsi="Corbel" w:cs="Times New Roman"/>
        </w:rPr>
        <w:t xml:space="preserve">Više je potencijalnih razloga </w:t>
      </w:r>
      <w:r w:rsidR="009F4E5A" w:rsidRPr="00FB2B17">
        <w:rPr>
          <w:rFonts w:ascii="Corbel" w:hAnsi="Corbel" w:cs="Times New Roman"/>
        </w:rPr>
        <w:t>zbog kojih se povećao udio nezaposlenih sa VSS razinom obrazovanja:</w:t>
      </w:r>
      <w:r w:rsidR="00C9418C" w:rsidRPr="00FB2B17">
        <w:rPr>
          <w:rFonts w:ascii="Corbel" w:hAnsi="Corbel" w:cs="Times New Roman"/>
        </w:rPr>
        <w:t xml:space="preserve"> </w:t>
      </w:r>
    </w:p>
    <w:p w:rsidR="009F4E5A" w:rsidRPr="00FB2B17" w:rsidRDefault="009F4E5A" w:rsidP="004C6931">
      <w:pPr>
        <w:pStyle w:val="Odlomakpopisa"/>
        <w:numPr>
          <w:ilvl w:val="0"/>
          <w:numId w:val="2"/>
        </w:numPr>
        <w:jc w:val="both"/>
        <w:rPr>
          <w:rFonts w:ascii="Corbel" w:hAnsi="Corbel" w:cs="Times New Roman"/>
        </w:rPr>
      </w:pPr>
      <w:r w:rsidRPr="00FB2B17">
        <w:rPr>
          <w:rFonts w:ascii="Corbel" w:hAnsi="Corbel" w:cs="Times New Roman"/>
        </w:rPr>
        <w:t>raste broj studenata koji završavaju fakultete, a ne uspijevaju se</w:t>
      </w:r>
      <w:r w:rsidR="00397A60" w:rsidRPr="00FB2B17">
        <w:rPr>
          <w:rFonts w:ascii="Corbel" w:hAnsi="Corbel" w:cs="Times New Roman"/>
        </w:rPr>
        <w:t xml:space="preserve"> zaposliti</w:t>
      </w:r>
      <w:r w:rsidRPr="00FB2B17">
        <w:rPr>
          <w:rFonts w:ascii="Corbel" w:hAnsi="Corbel" w:cs="Times New Roman"/>
        </w:rPr>
        <w:t>;</w:t>
      </w:r>
    </w:p>
    <w:p w:rsidR="009F4E5A" w:rsidRPr="00FB2B17" w:rsidRDefault="00C9418C" w:rsidP="004C6931">
      <w:pPr>
        <w:pStyle w:val="Odlomakpopisa"/>
        <w:numPr>
          <w:ilvl w:val="0"/>
          <w:numId w:val="2"/>
        </w:numPr>
        <w:jc w:val="both"/>
        <w:rPr>
          <w:rFonts w:ascii="Corbel" w:hAnsi="Corbel" w:cs="Times New Roman"/>
        </w:rPr>
      </w:pPr>
      <w:r w:rsidRPr="00FB2B17">
        <w:rPr>
          <w:rFonts w:ascii="Corbel" w:hAnsi="Corbel" w:cs="Times New Roman"/>
        </w:rPr>
        <w:t xml:space="preserve">strukturni gospodarski problemi </w:t>
      </w:r>
      <w:r w:rsidR="009F4E5A" w:rsidRPr="00FB2B17">
        <w:rPr>
          <w:rFonts w:ascii="Corbel" w:hAnsi="Corbel" w:cs="Times New Roman"/>
        </w:rPr>
        <w:t xml:space="preserve">i </w:t>
      </w:r>
      <w:r w:rsidR="00397A60" w:rsidRPr="00FB2B17">
        <w:rPr>
          <w:rFonts w:ascii="Corbel" w:hAnsi="Corbel" w:cs="Times New Roman"/>
        </w:rPr>
        <w:t>pad</w:t>
      </w:r>
      <w:r w:rsidR="009F4E5A" w:rsidRPr="00FB2B17">
        <w:rPr>
          <w:rFonts w:ascii="Corbel" w:hAnsi="Corbel" w:cs="Times New Roman"/>
        </w:rPr>
        <w:t xml:space="preserve"> konkurentnost</w:t>
      </w:r>
      <w:r w:rsidR="00397A60" w:rsidRPr="00FB2B17">
        <w:rPr>
          <w:rFonts w:ascii="Corbel" w:hAnsi="Corbel" w:cs="Times New Roman"/>
        </w:rPr>
        <w:t>i</w:t>
      </w:r>
      <w:r w:rsidR="009F4E5A" w:rsidRPr="00FB2B17">
        <w:rPr>
          <w:rFonts w:ascii="Corbel" w:hAnsi="Corbel" w:cs="Times New Roman"/>
        </w:rPr>
        <w:t xml:space="preserve"> gospodarstva </w:t>
      </w:r>
      <w:r w:rsidRPr="00FB2B17">
        <w:rPr>
          <w:rFonts w:ascii="Corbel" w:hAnsi="Corbel" w:cs="Times New Roman"/>
        </w:rPr>
        <w:t>rez</w:t>
      </w:r>
      <w:r w:rsidR="009F4E5A" w:rsidRPr="00FB2B17">
        <w:rPr>
          <w:rFonts w:ascii="Corbel" w:hAnsi="Corbel" w:cs="Times New Roman"/>
        </w:rPr>
        <w:t>ultiraju</w:t>
      </w:r>
      <w:r w:rsidRPr="00FB2B17">
        <w:rPr>
          <w:rFonts w:ascii="Corbel" w:hAnsi="Corbel" w:cs="Times New Roman"/>
        </w:rPr>
        <w:t xml:space="preserve"> većim otpuštanjima </w:t>
      </w:r>
      <w:r w:rsidR="009F4E5A" w:rsidRPr="00FB2B17">
        <w:rPr>
          <w:rFonts w:ascii="Corbel" w:hAnsi="Corbel" w:cs="Times New Roman"/>
        </w:rPr>
        <w:t>visoko obrazovanog stanovništva;</w:t>
      </w:r>
      <w:r w:rsidR="00D3406C" w:rsidRPr="00FB2B17">
        <w:rPr>
          <w:rFonts w:ascii="Corbel" w:hAnsi="Corbel" w:cs="Times New Roman"/>
        </w:rPr>
        <w:t xml:space="preserve"> </w:t>
      </w:r>
    </w:p>
    <w:p w:rsidR="00BC18C7" w:rsidRPr="00FB2B17" w:rsidRDefault="00D3406C" w:rsidP="004C6931">
      <w:pPr>
        <w:pStyle w:val="Odlomakpopisa"/>
        <w:numPr>
          <w:ilvl w:val="0"/>
          <w:numId w:val="2"/>
        </w:numPr>
        <w:jc w:val="both"/>
        <w:rPr>
          <w:rFonts w:ascii="Corbel" w:hAnsi="Corbel" w:cs="Times New Roman"/>
        </w:rPr>
      </w:pPr>
      <w:r w:rsidRPr="00FB2B17">
        <w:rPr>
          <w:rFonts w:ascii="Corbel" w:hAnsi="Corbel" w:cs="Times New Roman"/>
        </w:rPr>
        <w:t xml:space="preserve">te </w:t>
      </w:r>
      <w:r w:rsidR="009F4E5A" w:rsidRPr="00FB2B17">
        <w:rPr>
          <w:rFonts w:ascii="Corbel" w:hAnsi="Corbel" w:cs="Times New Roman"/>
        </w:rPr>
        <w:t>viši troškovi angažiranja radnika sa VSS razinom obrazovanja uzrokuju pad potražnje</w:t>
      </w:r>
      <w:r w:rsidR="00C9418C" w:rsidRPr="00FB2B17">
        <w:rPr>
          <w:rFonts w:ascii="Corbel" w:hAnsi="Corbel" w:cs="Times New Roman"/>
        </w:rPr>
        <w:t xml:space="preserve"> za VSS</w:t>
      </w:r>
      <w:r w:rsidRPr="00FB2B17">
        <w:rPr>
          <w:rFonts w:ascii="Corbel" w:hAnsi="Corbel" w:cs="Times New Roman"/>
        </w:rPr>
        <w:t xml:space="preserve"> radnom snagom </w:t>
      </w:r>
      <w:proofErr w:type="spellStart"/>
      <w:r w:rsidRPr="00FB2B17">
        <w:rPr>
          <w:rFonts w:ascii="Corbel" w:hAnsi="Corbel" w:cs="Times New Roman"/>
        </w:rPr>
        <w:t>idr</w:t>
      </w:r>
      <w:proofErr w:type="spellEnd"/>
      <w:r w:rsidRPr="00FB2B17">
        <w:rPr>
          <w:rFonts w:ascii="Corbel" w:hAnsi="Corbel" w:cs="Times New Roman"/>
        </w:rPr>
        <w:t>.</w:t>
      </w:r>
    </w:p>
    <w:p w:rsidR="00BC18C7" w:rsidRPr="00FB2B17" w:rsidRDefault="00BC18C7" w:rsidP="004C6931">
      <w:pPr>
        <w:jc w:val="both"/>
        <w:rPr>
          <w:rFonts w:ascii="Corbel" w:hAnsi="Corbel" w:cs="Times New Roman"/>
        </w:rPr>
      </w:pPr>
      <w:r w:rsidRPr="00FB2B17">
        <w:rPr>
          <w:rFonts w:ascii="Corbel" w:hAnsi="Corbel" w:cs="Times New Roman"/>
        </w:rPr>
        <w:t>Negativni porast u strukturi nezaposlenosti također bilježe nezaposleni sa završenim prvim stupnjem fakulteta, stručnim studijem i višom školom, zatim osobe sa završenom gimnazijom i osobe sa završenom četverogodišnjom srednjom školom.</w:t>
      </w:r>
      <w:r w:rsidR="000F1136" w:rsidRPr="00FB2B17">
        <w:rPr>
          <w:rFonts w:ascii="Corbel" w:hAnsi="Corbel" w:cs="Times New Roman"/>
        </w:rPr>
        <w:t xml:space="preserve"> </w:t>
      </w:r>
      <w:r w:rsidRPr="00FB2B17">
        <w:rPr>
          <w:rFonts w:ascii="Corbel" w:hAnsi="Corbel" w:cs="Times New Roman"/>
        </w:rPr>
        <w:t xml:space="preserve">S druge strane, </w:t>
      </w:r>
      <w:r w:rsidR="001B3D71" w:rsidRPr="00FB2B17">
        <w:rPr>
          <w:rFonts w:ascii="Corbel" w:hAnsi="Corbel" w:cs="Times New Roman"/>
        </w:rPr>
        <w:t xml:space="preserve">značajnije se </w:t>
      </w:r>
      <w:r w:rsidRPr="00FB2B17">
        <w:rPr>
          <w:rFonts w:ascii="Corbel" w:hAnsi="Corbel" w:cs="Times New Roman"/>
        </w:rPr>
        <w:t>smanjuje udio nezaposlenih osoba sa završenom osnovnom školom</w:t>
      </w:r>
      <w:r w:rsidR="001B3D71" w:rsidRPr="00FB2B17">
        <w:rPr>
          <w:rFonts w:ascii="Corbel" w:hAnsi="Corbel" w:cs="Times New Roman"/>
        </w:rPr>
        <w:t xml:space="preserve"> </w:t>
      </w:r>
      <w:r w:rsidR="00F552B1" w:rsidRPr="00FB2B17">
        <w:rPr>
          <w:rFonts w:ascii="Corbel" w:hAnsi="Corbel" w:cs="Times New Roman"/>
        </w:rPr>
        <w:t>i završenom trogodišnjom školom u ukupnom broju nezaposlenih.</w:t>
      </w:r>
    </w:p>
    <w:p w:rsidR="00C9418C" w:rsidRDefault="00C9418C" w:rsidP="00C9418C">
      <w:pPr>
        <w:pStyle w:val="Opisslike"/>
        <w:keepNext/>
      </w:pPr>
      <w:bookmarkStart w:id="18" w:name="_Toc351538471"/>
      <w:r>
        <w:lastRenderedPageBreak/>
        <w:t xml:space="preserve">Slika </w:t>
      </w:r>
      <w:fldSimple w:instr=" SEQ Slika \* ARABIC ">
        <w:r w:rsidR="001E7A09">
          <w:rPr>
            <w:noProof/>
          </w:rPr>
          <w:t>8</w:t>
        </w:r>
      </w:fldSimple>
      <w:r>
        <w:t>.: Promjene u strukturi nezaposlenosti od 2008.-2011. godine</w:t>
      </w:r>
      <w:bookmarkEnd w:id="18"/>
      <w:r>
        <w:t xml:space="preserve"> </w:t>
      </w:r>
    </w:p>
    <w:p w:rsidR="00C9418C" w:rsidRDefault="00C9418C" w:rsidP="00C81ED0">
      <w:pPr>
        <w:spacing w:after="0"/>
        <w:rPr>
          <w:highlight w:val="yellow"/>
        </w:rPr>
      </w:pPr>
      <w:r>
        <w:rPr>
          <w:noProof/>
          <w:lang w:eastAsia="hr-HR"/>
        </w:rPr>
        <w:drawing>
          <wp:inline distT="0" distB="0" distL="0" distR="0" wp14:anchorId="4AF4D9D7" wp14:editId="52B59C56">
            <wp:extent cx="5343525" cy="2990850"/>
            <wp:effectExtent l="0" t="0" r="9525" b="19050"/>
            <wp:docPr id="8" name="Grafikon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81ED0" w:rsidRDefault="00C81ED0" w:rsidP="00C81ED0">
      <w:pPr>
        <w:rPr>
          <w:rFonts w:ascii="Times New Roman" w:hAnsi="Times New Roman" w:cs="Times New Roman"/>
          <w:sz w:val="20"/>
        </w:rPr>
      </w:pPr>
      <w:r w:rsidRPr="00AB267C">
        <w:rPr>
          <w:rFonts w:ascii="Times New Roman" w:hAnsi="Times New Roman" w:cs="Times New Roman"/>
          <w:sz w:val="20"/>
        </w:rPr>
        <w:t xml:space="preserve">Izvor: HZZ, Registrirana nezaposlenost, </w:t>
      </w:r>
      <w:r>
        <w:rPr>
          <w:rFonts w:ascii="Times New Roman" w:hAnsi="Times New Roman" w:cs="Times New Roman"/>
          <w:sz w:val="20"/>
        </w:rPr>
        <w:t>po godinama.</w:t>
      </w:r>
      <w:r w:rsidRPr="00AB267C">
        <w:rPr>
          <w:rFonts w:ascii="Times New Roman" w:hAnsi="Times New Roman" w:cs="Times New Roman"/>
          <w:sz w:val="20"/>
        </w:rPr>
        <w:t>; obrada: ZADRA</w:t>
      </w:r>
    </w:p>
    <w:p w:rsidR="009E5F95" w:rsidRPr="004C6931" w:rsidRDefault="00EB35E2" w:rsidP="004C6931">
      <w:pPr>
        <w:jc w:val="both"/>
        <w:rPr>
          <w:rFonts w:ascii="Corbel" w:hAnsi="Corbel" w:cs="Times New Roman"/>
        </w:rPr>
      </w:pPr>
      <w:r w:rsidRPr="004C6931">
        <w:rPr>
          <w:rFonts w:ascii="Corbel" w:hAnsi="Corbel" w:cs="Times New Roman"/>
        </w:rPr>
        <w:t xml:space="preserve">Visoki broj nezaposlenog visoko obrazovanog stanovništva dodatno se potvrđuje u strukturi nezaposlenih prema dobi, </w:t>
      </w:r>
      <w:r w:rsidRPr="004C6931">
        <w:rPr>
          <w:rFonts w:ascii="Corbel" w:hAnsi="Corbel" w:cs="Times New Roman"/>
          <w:b/>
        </w:rPr>
        <w:t xml:space="preserve">gdje u ukupnom broju nezaposlenih prevladava dobna </w:t>
      </w:r>
      <w:r w:rsidR="006E1AD0" w:rsidRPr="004C6931">
        <w:rPr>
          <w:rFonts w:ascii="Corbel" w:hAnsi="Corbel" w:cs="Times New Roman"/>
          <w:b/>
        </w:rPr>
        <w:t>skupina od 25-34 godine sa 28 %</w:t>
      </w:r>
      <w:r w:rsidR="006E1AD0" w:rsidRPr="004C6931">
        <w:rPr>
          <w:rFonts w:ascii="Corbel" w:hAnsi="Corbel" w:cs="Times New Roman"/>
        </w:rPr>
        <w:t xml:space="preserve">, </w:t>
      </w:r>
      <w:r w:rsidR="006E1AD0" w:rsidRPr="004C6931">
        <w:rPr>
          <w:rFonts w:ascii="Corbel" w:hAnsi="Corbel" w:cs="Times New Roman"/>
          <w:b/>
        </w:rPr>
        <w:t>što upućuje na zaključak da u strukturi nezaposlenih prevladavaju mladi, obrazovani ljudi.</w:t>
      </w:r>
      <w:r w:rsidR="006E1AD0" w:rsidRPr="004C6931">
        <w:rPr>
          <w:rFonts w:ascii="Corbel" w:hAnsi="Corbel" w:cs="Times New Roman"/>
        </w:rPr>
        <w:t xml:space="preserve"> </w:t>
      </w:r>
      <w:r w:rsidR="006E1AD0" w:rsidRPr="00FB2B17">
        <w:rPr>
          <w:rFonts w:ascii="Corbel" w:hAnsi="Corbel" w:cs="Times New Roman"/>
        </w:rPr>
        <w:t xml:space="preserve">No, to nije iznimka jer istraživanja pokazuju da nezaposlenost među mladima između 20-24 godine u razvijenim zapadnim ekonomijama dvostruko viša od prosječne nezaposlenosti. To je negativna posljedica preferencije poslodavca koji oklijevaju zaposliti mlade obrazovane ljude preferirajući iskusniju radnu snagu. Dulja razdoblja traženja posla destimuliraju mlade ljude, pa se oni odjavljuju sa biroa za zapošljavanje tražeći alternativne povremene poslove </w:t>
      </w:r>
      <w:sdt>
        <w:sdtPr>
          <w:rPr>
            <w:rFonts w:ascii="Corbel" w:hAnsi="Corbel" w:cs="Times New Roman"/>
          </w:rPr>
          <w:id w:val="-2080056172"/>
          <w:citation/>
        </w:sdtPr>
        <w:sdtContent>
          <w:r w:rsidR="006E1AD0" w:rsidRPr="00FB2B17">
            <w:rPr>
              <w:rFonts w:ascii="Corbel" w:hAnsi="Corbel" w:cs="Times New Roman"/>
            </w:rPr>
            <w:fldChar w:fldCharType="begin"/>
          </w:r>
          <w:r w:rsidR="006E1AD0" w:rsidRPr="00FB2B17">
            <w:rPr>
              <w:rFonts w:ascii="Corbel" w:hAnsi="Corbel" w:cs="Times New Roman"/>
            </w:rPr>
            <w:instrText xml:space="preserve"> CITATION Dru99 \l 1050 </w:instrText>
          </w:r>
          <w:r w:rsidR="006E1AD0" w:rsidRPr="00FB2B17">
            <w:rPr>
              <w:rFonts w:ascii="Corbel" w:hAnsi="Corbel" w:cs="Times New Roman"/>
            </w:rPr>
            <w:fldChar w:fldCharType="separate"/>
          </w:r>
          <w:r w:rsidR="006E1AD0" w:rsidRPr="00FB2B17">
            <w:rPr>
              <w:rFonts w:ascii="Corbel" w:hAnsi="Corbel" w:cs="Times New Roman"/>
              <w:noProof/>
            </w:rPr>
            <w:t>(Družić, 1999)</w:t>
          </w:r>
          <w:r w:rsidR="006E1AD0" w:rsidRPr="00FB2B17">
            <w:rPr>
              <w:rFonts w:ascii="Corbel" w:hAnsi="Corbel" w:cs="Times New Roman"/>
            </w:rPr>
            <w:fldChar w:fldCharType="end"/>
          </w:r>
        </w:sdtContent>
      </w:sdt>
      <w:r w:rsidR="00830751" w:rsidRPr="00FB2B17">
        <w:rPr>
          <w:rFonts w:ascii="Corbel" w:hAnsi="Corbel" w:cs="Times New Roman"/>
        </w:rPr>
        <w:t>. Ipak, prema podacima DZS-a Hrvatska je po nezaposlenosti mladih u dobi do 24 godine, koja iznosi više od 35 posto, druga u Europi, odmah iza Španjolske, što znači da problemi nisu samo u preferencijama poslodavca nego i u kontinuiranoj nemogućnosti gospodarstva da apsorbira nove obrazovane kadrove nakon završetka fakulteta.</w:t>
      </w:r>
    </w:p>
    <w:p w:rsidR="006E1AD0" w:rsidRPr="004C6931" w:rsidRDefault="00EB35E2" w:rsidP="004C6931">
      <w:pPr>
        <w:jc w:val="both"/>
        <w:rPr>
          <w:rFonts w:ascii="Corbel" w:hAnsi="Corbel" w:cs="Times New Roman"/>
        </w:rPr>
      </w:pPr>
      <w:r w:rsidRPr="004C6931">
        <w:rPr>
          <w:rFonts w:ascii="Corbel" w:hAnsi="Corbel" w:cs="Times New Roman"/>
        </w:rPr>
        <w:t>Nešto manje, sa 21% su nezaposlena dobna skupina od 45</w:t>
      </w:r>
      <w:r w:rsidR="00A74012" w:rsidRPr="004C6931">
        <w:rPr>
          <w:rFonts w:ascii="Corbel" w:hAnsi="Corbel" w:cs="Times New Roman"/>
        </w:rPr>
        <w:t>-54 godine, dakle zrelo stan</w:t>
      </w:r>
      <w:r w:rsidR="006E1AD0" w:rsidRPr="004C6931">
        <w:rPr>
          <w:rFonts w:ascii="Corbel" w:hAnsi="Corbel" w:cs="Times New Roman"/>
        </w:rPr>
        <w:t xml:space="preserve">ovništvo. Zatim slijede nezaposleni u dobi od 35-44 godine sa 20% udjela u ukupnoj nezaposlenosti. Vidljivo je k tome da je </w:t>
      </w:r>
      <w:r w:rsidR="006E1AD0" w:rsidRPr="004C6931">
        <w:rPr>
          <w:rFonts w:ascii="Corbel" w:hAnsi="Corbel" w:cs="Times New Roman"/>
          <w:b/>
        </w:rPr>
        <w:t xml:space="preserve">gotovo polovica nezaposlenih (48%) u dobi od 25-44 godine, </w:t>
      </w:r>
      <w:proofErr w:type="spellStart"/>
      <w:r w:rsidR="006E1AD0" w:rsidRPr="004C6931">
        <w:rPr>
          <w:rFonts w:ascii="Corbel" w:hAnsi="Corbel" w:cs="Times New Roman"/>
          <w:b/>
        </w:rPr>
        <w:t>tj</w:t>
      </w:r>
      <w:proofErr w:type="spellEnd"/>
      <w:r w:rsidR="006E1AD0" w:rsidRPr="004C6931">
        <w:rPr>
          <w:rFonts w:ascii="Corbel" w:hAnsi="Corbel" w:cs="Times New Roman"/>
          <w:b/>
        </w:rPr>
        <w:t>, u godinama kada je radna produktivnost na najvišem nivou.</w:t>
      </w:r>
      <w:r w:rsidR="00830751" w:rsidRPr="004C6931">
        <w:rPr>
          <w:rFonts w:ascii="Corbel" w:hAnsi="Corbel" w:cs="Times New Roman"/>
          <w:b/>
        </w:rPr>
        <w:t xml:space="preserve"> </w:t>
      </w:r>
    </w:p>
    <w:p w:rsidR="00830751" w:rsidRPr="004C6931" w:rsidRDefault="00830751" w:rsidP="004C6931">
      <w:pPr>
        <w:jc w:val="both"/>
        <w:rPr>
          <w:rFonts w:ascii="Corbel" w:hAnsi="Corbel" w:cs="Times New Roman"/>
        </w:rPr>
      </w:pPr>
      <w:r w:rsidRPr="004C6931">
        <w:rPr>
          <w:rFonts w:ascii="Corbel" w:hAnsi="Corbel" w:cs="Times New Roman"/>
        </w:rPr>
        <w:t xml:space="preserve">U ukupnom broju nezaposlenih 2011. godine </w:t>
      </w:r>
      <w:r w:rsidRPr="004C6931">
        <w:rPr>
          <w:rFonts w:ascii="Corbel" w:hAnsi="Corbel" w:cs="Times New Roman"/>
          <w:b/>
        </w:rPr>
        <w:t>bilo je 57% žena, ali taj udjel opada kroz posljednje tri godine</w:t>
      </w:r>
      <w:r w:rsidRPr="004C6931">
        <w:rPr>
          <w:rFonts w:ascii="Corbel" w:hAnsi="Corbel" w:cs="Times New Roman"/>
        </w:rPr>
        <w:t xml:space="preserve"> (u 2008. godini udio nezaposlenih žena je bio 64%). Premda udio žena u nezaposlenosti opada, broj nezaposlenih žena i muškaraca raste, tako da se zapravo samo mijenjaju udjeli muških i ženskih nezaposlenih osoba u ukupnoj nezaposlenosti.</w:t>
      </w:r>
      <w:r w:rsidR="00005849" w:rsidRPr="004C6931">
        <w:rPr>
          <w:rFonts w:ascii="Corbel" w:hAnsi="Corbel" w:cs="Times New Roman"/>
        </w:rPr>
        <w:t xml:space="preserve"> S druge strane to znači da su muškarci jače pogođeni negativnim kretanjima na tržištu rada i da je kriza više pogodila pretežno „muške“ djelatnosti (poput građevine).</w:t>
      </w:r>
    </w:p>
    <w:p w:rsidR="00BC6D47" w:rsidRDefault="00BC6D47" w:rsidP="00BC6D47">
      <w:pPr>
        <w:pStyle w:val="Opisslike"/>
        <w:keepNext/>
      </w:pPr>
      <w:bookmarkStart w:id="19" w:name="_Toc351538472"/>
      <w:r>
        <w:lastRenderedPageBreak/>
        <w:t xml:space="preserve">Slika </w:t>
      </w:r>
      <w:fldSimple w:instr=" SEQ Slika \* ARABIC ">
        <w:r w:rsidR="001E7A09">
          <w:rPr>
            <w:noProof/>
          </w:rPr>
          <w:t>9</w:t>
        </w:r>
      </w:fldSimple>
      <w:r>
        <w:t>.: Struktura nezaposlenosti za grad Zadar prema dobi u 2011. godini</w:t>
      </w:r>
      <w:bookmarkEnd w:id="19"/>
    </w:p>
    <w:p w:rsidR="00C81ED0" w:rsidRPr="00AB267C" w:rsidRDefault="006E1AD0" w:rsidP="00BC6D47">
      <w:pPr>
        <w:spacing w:after="0"/>
        <w:rPr>
          <w:rFonts w:ascii="Times New Roman" w:hAnsi="Times New Roman" w:cs="Times New Roman"/>
          <w:sz w:val="20"/>
        </w:rPr>
      </w:pPr>
      <w:r>
        <w:rPr>
          <w:noProof/>
          <w:lang w:eastAsia="hr-HR"/>
        </w:rPr>
        <w:drawing>
          <wp:inline distT="0" distB="0" distL="0" distR="0" wp14:anchorId="7E23C633" wp14:editId="2F05A487">
            <wp:extent cx="4869656" cy="2913460"/>
            <wp:effectExtent l="0" t="0" r="26670" b="20320"/>
            <wp:docPr id="9" name="Grafikon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C6D47" w:rsidRPr="00BC6D47" w:rsidRDefault="00BC6D47" w:rsidP="00BC6D47">
      <w:pPr>
        <w:rPr>
          <w:rFonts w:ascii="Times New Roman" w:hAnsi="Times New Roman" w:cs="Times New Roman"/>
          <w:sz w:val="20"/>
        </w:rPr>
      </w:pPr>
      <w:r w:rsidRPr="00BC6D47">
        <w:rPr>
          <w:rFonts w:ascii="Times New Roman" w:hAnsi="Times New Roman" w:cs="Times New Roman"/>
          <w:sz w:val="20"/>
        </w:rPr>
        <w:t>Izvor: HZZ, Registrirana nezaposlenost, po godinama.; obrada: ZADRA</w:t>
      </w:r>
    </w:p>
    <w:p w:rsidR="006E1AD0" w:rsidRPr="004F2FBF" w:rsidRDefault="00C81ED0" w:rsidP="004C6931">
      <w:pPr>
        <w:spacing w:line="240" w:lineRule="auto"/>
        <w:jc w:val="both"/>
        <w:rPr>
          <w:rFonts w:ascii="Corbel" w:hAnsi="Corbel" w:cs="Times New Roman"/>
        </w:rPr>
      </w:pPr>
      <w:r w:rsidRPr="004F2FBF">
        <w:rPr>
          <w:rFonts w:ascii="Corbel" w:hAnsi="Corbel" w:cs="Times New Roman"/>
        </w:rPr>
        <w:t>Slična je situacija</w:t>
      </w:r>
      <w:r w:rsidR="00DB6A86" w:rsidRPr="004F2FBF">
        <w:rPr>
          <w:rFonts w:ascii="Corbel" w:hAnsi="Corbel" w:cs="Times New Roman"/>
        </w:rPr>
        <w:t xml:space="preserve"> na tržištu rada</w:t>
      </w:r>
      <w:r w:rsidRPr="004F2FBF">
        <w:rPr>
          <w:rFonts w:ascii="Corbel" w:hAnsi="Corbel" w:cs="Times New Roman"/>
        </w:rPr>
        <w:t xml:space="preserve"> i u drugim Jadranskim gradovima, što znači da su to karakteristike nacionaln</w:t>
      </w:r>
      <w:r w:rsidR="002B0032" w:rsidRPr="004F2FBF">
        <w:rPr>
          <w:rFonts w:ascii="Corbel" w:hAnsi="Corbel" w:cs="Times New Roman"/>
        </w:rPr>
        <w:t>og tržišta rada,</w:t>
      </w:r>
      <w:r w:rsidRPr="004F2FBF">
        <w:rPr>
          <w:rFonts w:ascii="Corbel" w:hAnsi="Corbel" w:cs="Times New Roman"/>
        </w:rPr>
        <w:t xml:space="preserve"> </w:t>
      </w:r>
      <w:r w:rsidR="006E1AD0" w:rsidRPr="004F2FBF">
        <w:rPr>
          <w:rFonts w:ascii="Corbel" w:hAnsi="Corbel" w:cs="Times New Roman"/>
        </w:rPr>
        <w:t>stoga i ne čudi činjenica da upravo</w:t>
      </w:r>
      <w:r w:rsidR="002B0032" w:rsidRPr="004F2FBF">
        <w:rPr>
          <w:rFonts w:ascii="Corbel" w:hAnsi="Corbel" w:cs="Times New Roman"/>
        </w:rPr>
        <w:t xml:space="preserve"> </w:t>
      </w:r>
      <w:proofErr w:type="spellStart"/>
      <w:r w:rsidR="002B0032" w:rsidRPr="004F2FBF">
        <w:rPr>
          <w:rFonts w:ascii="Corbel" w:hAnsi="Corbel" w:cs="Times New Roman"/>
          <w:color w:val="FF0000"/>
        </w:rPr>
        <w:t>najpogođenije</w:t>
      </w:r>
      <w:proofErr w:type="spellEnd"/>
      <w:r w:rsidR="002B0032" w:rsidRPr="004F2FBF">
        <w:rPr>
          <w:rFonts w:ascii="Corbel" w:hAnsi="Corbel" w:cs="Times New Roman"/>
          <w:color w:val="FF0000"/>
        </w:rPr>
        <w:t xml:space="preserve"> </w:t>
      </w:r>
      <w:r w:rsidR="002B0032" w:rsidRPr="004F2FBF">
        <w:rPr>
          <w:rFonts w:ascii="Corbel" w:hAnsi="Corbel" w:cs="Times New Roman"/>
        </w:rPr>
        <w:t>dobne skupine (prije svega mladi)</w:t>
      </w:r>
      <w:r w:rsidR="006E1AD0" w:rsidRPr="004F2FBF">
        <w:rPr>
          <w:rFonts w:ascii="Corbel" w:hAnsi="Corbel" w:cs="Times New Roman"/>
        </w:rPr>
        <w:t xml:space="preserve"> traže načine za zapošljavanjem izvan granica RH, ili su primorani tražiti privremena zaposlenja </w:t>
      </w:r>
      <w:proofErr w:type="spellStart"/>
      <w:r w:rsidR="006E1AD0" w:rsidRPr="004F2FBF">
        <w:rPr>
          <w:rFonts w:ascii="Corbel" w:hAnsi="Corbel" w:cs="Times New Roman"/>
        </w:rPr>
        <w:t>sezonalnog</w:t>
      </w:r>
      <w:proofErr w:type="spellEnd"/>
      <w:r w:rsidR="006E1AD0" w:rsidRPr="004F2FBF">
        <w:rPr>
          <w:rFonts w:ascii="Corbel" w:hAnsi="Corbel" w:cs="Times New Roman"/>
        </w:rPr>
        <w:t xml:space="preserve"> karaktera.</w:t>
      </w:r>
    </w:p>
    <w:p w:rsidR="00F367B4" w:rsidRPr="004F2FBF" w:rsidRDefault="00DB6A86" w:rsidP="004C6931">
      <w:pPr>
        <w:spacing w:line="240" w:lineRule="auto"/>
        <w:jc w:val="both"/>
        <w:rPr>
          <w:rFonts w:ascii="Corbel" w:hAnsi="Corbel" w:cs="Times New Roman"/>
        </w:rPr>
      </w:pPr>
      <w:r w:rsidRPr="004F2FBF">
        <w:rPr>
          <w:rFonts w:ascii="Corbel" w:hAnsi="Corbel" w:cs="Times New Roman"/>
        </w:rPr>
        <w:t xml:space="preserve">Ako promotrimo </w:t>
      </w:r>
      <w:r w:rsidRPr="004F2FBF">
        <w:rPr>
          <w:rFonts w:ascii="Corbel" w:hAnsi="Corbel" w:cs="Times New Roman"/>
          <w:b/>
        </w:rPr>
        <w:t>podatke o promjenama u udjelu nezaposlenih</w:t>
      </w:r>
      <w:r w:rsidRPr="004F2FBF">
        <w:rPr>
          <w:rFonts w:ascii="Corbel" w:hAnsi="Corbel" w:cs="Times New Roman"/>
        </w:rPr>
        <w:t xml:space="preserve"> </w:t>
      </w:r>
      <w:r w:rsidRPr="004F2FBF">
        <w:rPr>
          <w:rFonts w:ascii="Corbel" w:hAnsi="Corbel" w:cs="Times New Roman"/>
          <w:b/>
        </w:rPr>
        <w:t>u gradu Zadru kroz posljednje tri godine, također su vidljivi negativni trendovi u povećanju mladih u ukupnoj nezaposlenosti</w:t>
      </w:r>
      <w:r w:rsidRPr="004F2FBF">
        <w:rPr>
          <w:rFonts w:ascii="Corbel" w:hAnsi="Corbel" w:cs="Times New Roman"/>
        </w:rPr>
        <w:t>. Dakle, problem zapošljavanja mladih i obrazovanih, naspram starijih i iskusnijih, koji je oduvijek karakterističan za RH, u krizi se samo produbio. Tako je udio nezaposlenih od 15-24</w:t>
      </w:r>
      <w:r w:rsidR="00CB3F6D" w:rsidRPr="004F2FBF">
        <w:rPr>
          <w:rFonts w:ascii="Corbel" w:hAnsi="Corbel" w:cs="Times New Roman"/>
        </w:rPr>
        <w:t xml:space="preserve"> godina</w:t>
      </w:r>
      <w:r w:rsidRPr="004F2FBF">
        <w:rPr>
          <w:rFonts w:ascii="Corbel" w:hAnsi="Corbel" w:cs="Times New Roman"/>
        </w:rPr>
        <w:t xml:space="preserve"> u </w:t>
      </w:r>
      <w:r w:rsidR="00CB3F6D" w:rsidRPr="004F2FBF">
        <w:rPr>
          <w:rFonts w:ascii="Corbel" w:hAnsi="Corbel" w:cs="Times New Roman"/>
        </w:rPr>
        <w:t>posljednje tri godine</w:t>
      </w:r>
      <w:r w:rsidRPr="004F2FBF">
        <w:rPr>
          <w:rFonts w:ascii="Corbel" w:hAnsi="Corbel" w:cs="Times New Roman"/>
        </w:rPr>
        <w:t xml:space="preserve"> porastao sa </w:t>
      </w:r>
      <w:r w:rsidR="00CB3F6D" w:rsidRPr="004F2FBF">
        <w:rPr>
          <w:rFonts w:ascii="Corbel" w:hAnsi="Corbel" w:cs="Times New Roman"/>
        </w:rPr>
        <w:t>11,32% na 14,20%, kao i udio nezaposlenih od 25-34 godine koji je porastao</w:t>
      </w:r>
      <w:r w:rsidR="00796887" w:rsidRPr="004F2FBF">
        <w:rPr>
          <w:rFonts w:ascii="Corbel" w:hAnsi="Corbel" w:cs="Times New Roman"/>
        </w:rPr>
        <w:t xml:space="preserve"> sa</w:t>
      </w:r>
      <w:r w:rsidR="00CB3F6D" w:rsidRPr="004F2FBF">
        <w:rPr>
          <w:rFonts w:ascii="Corbel" w:hAnsi="Corbel" w:cs="Times New Roman"/>
        </w:rPr>
        <w:t xml:space="preserve"> 21,24% na 27,72%</w:t>
      </w:r>
      <w:r w:rsidR="00FC1191" w:rsidRPr="004F2FBF">
        <w:rPr>
          <w:rFonts w:ascii="Corbel" w:hAnsi="Corbel" w:cs="Times New Roman"/>
        </w:rPr>
        <w:t xml:space="preserve"> (</w:t>
      </w:r>
      <w:r w:rsidR="00FC1191" w:rsidRPr="004F2FBF">
        <w:rPr>
          <w:rFonts w:ascii="Corbel" w:hAnsi="Corbel" w:cs="Times New Roman"/>
          <w:b/>
        </w:rPr>
        <w:t>porast od 52% u tri godine</w:t>
      </w:r>
      <w:r w:rsidR="00FC1191" w:rsidRPr="004F2FBF">
        <w:rPr>
          <w:rFonts w:ascii="Corbel" w:hAnsi="Corbel" w:cs="Times New Roman"/>
        </w:rPr>
        <w:t>)</w:t>
      </w:r>
      <w:r w:rsidR="00CB3F6D" w:rsidRPr="004F2FBF">
        <w:rPr>
          <w:rFonts w:ascii="Corbel" w:hAnsi="Corbel" w:cs="Times New Roman"/>
        </w:rPr>
        <w:t>.</w:t>
      </w:r>
      <w:r w:rsidR="00003FD8" w:rsidRPr="004F2FBF">
        <w:rPr>
          <w:rFonts w:ascii="Corbel" w:hAnsi="Corbel" w:cs="Times New Roman"/>
        </w:rPr>
        <w:t xml:space="preserve"> Kod ostalih dobnih skupina zamjetan je trend pada udjela u ukupnoj nezaposlenosti.</w:t>
      </w:r>
    </w:p>
    <w:p w:rsidR="005B3ADC" w:rsidRDefault="005B3ADC" w:rsidP="005B3ADC">
      <w:pPr>
        <w:pStyle w:val="Opisslike"/>
        <w:keepNext/>
      </w:pPr>
      <w:bookmarkStart w:id="20" w:name="_Toc351538473"/>
      <w:r>
        <w:t xml:space="preserve">Slika </w:t>
      </w:r>
      <w:fldSimple w:instr=" SEQ Slika \* ARABIC ">
        <w:r w:rsidR="001E7A09">
          <w:rPr>
            <w:noProof/>
          </w:rPr>
          <w:t>10</w:t>
        </w:r>
      </w:fldSimple>
      <w:r>
        <w:t>.: Udio nezaposlenih osoba u gradu Zadru prema dobi u 2008. i 2011. godini</w:t>
      </w:r>
      <w:bookmarkEnd w:id="20"/>
    </w:p>
    <w:p w:rsidR="00C81ED0" w:rsidRDefault="005B3ADC" w:rsidP="005B3ADC">
      <w:pPr>
        <w:spacing w:after="0"/>
        <w:rPr>
          <w:rFonts w:ascii="Times New Roman" w:hAnsi="Times New Roman" w:cs="Times New Roman"/>
          <w:highlight w:val="yellow"/>
        </w:rPr>
      </w:pPr>
      <w:r>
        <w:rPr>
          <w:noProof/>
          <w:lang w:eastAsia="hr-HR"/>
        </w:rPr>
        <w:drawing>
          <wp:inline distT="0" distB="0" distL="0" distR="0" wp14:anchorId="4E949DEB" wp14:editId="2EF39566">
            <wp:extent cx="4867275" cy="2514600"/>
            <wp:effectExtent l="0" t="0" r="9525" b="19050"/>
            <wp:docPr id="10" name="Grafikon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B3ADC" w:rsidRDefault="005B3ADC" w:rsidP="005B3ADC">
      <w:pPr>
        <w:rPr>
          <w:rFonts w:ascii="Times New Roman" w:hAnsi="Times New Roman" w:cs="Times New Roman"/>
          <w:sz w:val="20"/>
        </w:rPr>
      </w:pPr>
      <w:r w:rsidRPr="00BC6D47">
        <w:rPr>
          <w:rFonts w:ascii="Times New Roman" w:hAnsi="Times New Roman" w:cs="Times New Roman"/>
          <w:sz w:val="20"/>
        </w:rPr>
        <w:t>Izvor: HZZ, Registrirana nezaposlenost, po godinama.; obrada: ZADRA</w:t>
      </w:r>
    </w:p>
    <w:p w:rsidR="00E95E8B" w:rsidRPr="004F2FBF" w:rsidRDefault="00E95E8B" w:rsidP="004C6931">
      <w:pPr>
        <w:autoSpaceDE w:val="0"/>
        <w:autoSpaceDN w:val="0"/>
        <w:adjustRightInd w:val="0"/>
        <w:spacing w:line="240" w:lineRule="auto"/>
        <w:jc w:val="both"/>
        <w:rPr>
          <w:rFonts w:ascii="Corbel" w:hAnsi="Corbel" w:cs="Times New Roman"/>
        </w:rPr>
      </w:pPr>
      <w:r w:rsidRPr="004F2FBF">
        <w:rPr>
          <w:rFonts w:ascii="Corbel" w:hAnsi="Corbel" w:cs="Times New Roman"/>
        </w:rPr>
        <w:lastRenderedPageBreak/>
        <w:t xml:space="preserve">Dob i količina radnog iskustva u značajnoj mjeri određuju izglede na tržištu rada. I u razdoblju prosperiteta mlade osobe bez radnog iskustva u Hrvatskoj suočavaju se sa značajnim problemima pri nalaženju posla. No, u recentnom nastupu krize, stopa zaposlenosti mladih tek je nastavila dugogodišnji trend smanjivanja </w:t>
      </w:r>
      <w:sdt>
        <w:sdtPr>
          <w:rPr>
            <w:rFonts w:ascii="Corbel" w:hAnsi="Corbel" w:cs="Times New Roman"/>
          </w:rPr>
          <w:id w:val="857777709"/>
          <w:citation/>
        </w:sdtPr>
        <w:sdtContent>
          <w:r w:rsidRPr="004F2FBF">
            <w:rPr>
              <w:rFonts w:ascii="Corbel" w:hAnsi="Corbel" w:cs="Times New Roman"/>
            </w:rPr>
            <w:fldChar w:fldCharType="begin"/>
          </w:r>
          <w:r w:rsidRPr="004F2FBF">
            <w:rPr>
              <w:rFonts w:ascii="Corbel" w:hAnsi="Corbel" w:cs="Times New Roman"/>
            </w:rPr>
            <w:instrText xml:space="preserve"> CITATION Mat10 \l 1050 </w:instrText>
          </w:r>
          <w:r w:rsidRPr="004F2FBF">
            <w:rPr>
              <w:rFonts w:ascii="Corbel" w:hAnsi="Corbel" w:cs="Times New Roman"/>
            </w:rPr>
            <w:fldChar w:fldCharType="separate"/>
          </w:r>
          <w:r w:rsidRPr="004F2FBF">
            <w:rPr>
              <w:rFonts w:ascii="Corbel" w:hAnsi="Corbel" w:cs="Times New Roman"/>
              <w:noProof/>
            </w:rPr>
            <w:t>(Matković, Mihail, &amp; Šošić, 2010)</w:t>
          </w:r>
          <w:r w:rsidRPr="004F2FBF">
            <w:rPr>
              <w:rFonts w:ascii="Corbel" w:hAnsi="Corbel" w:cs="Times New Roman"/>
            </w:rPr>
            <w:fldChar w:fldCharType="end"/>
          </w:r>
        </w:sdtContent>
      </w:sdt>
      <w:r w:rsidRPr="004F2FBF">
        <w:rPr>
          <w:rFonts w:ascii="Corbel" w:hAnsi="Corbel" w:cs="Times New Roman"/>
        </w:rPr>
        <w:t>. Porast nezaposlenosti je, kao i u vrijeme krize na hrvatskom tržištu rada desetljeće ranije, u posljednje tri godine najsnažnije pogodio mlade, što je potvrdila i analiza za grad Zadar.</w:t>
      </w:r>
      <w:r w:rsidR="000F1136" w:rsidRPr="004F2FBF">
        <w:rPr>
          <w:rFonts w:ascii="Corbel" w:hAnsi="Corbel" w:cs="Times New Roman"/>
        </w:rPr>
        <w:t xml:space="preserve"> </w:t>
      </w:r>
      <w:r w:rsidRPr="004F2FBF">
        <w:rPr>
          <w:rFonts w:ascii="Corbel" w:hAnsi="Corbel" w:cs="Times New Roman"/>
        </w:rPr>
        <w:t xml:space="preserve">Dakle, kada je u pitanju nezaposlenost, </w:t>
      </w:r>
      <w:r w:rsidRPr="004F2FBF">
        <w:rPr>
          <w:rFonts w:ascii="Corbel" w:hAnsi="Corbel" w:cs="Times New Roman"/>
          <w:b/>
        </w:rPr>
        <w:t>kriza je najsnažnije pogodila mlađu populaciju</w:t>
      </w:r>
      <w:r w:rsidRPr="004F2FBF">
        <w:rPr>
          <w:rFonts w:ascii="Corbel" w:hAnsi="Corbel" w:cs="Times New Roman"/>
        </w:rPr>
        <w:t>, u dobi do 35 godina, dok je porast nezaposlenosti među osobama starijim od 45 godina umjeren. Najveći je porast nezaposlenosti među osobama na početku ili u relativno ranoj fazi svoje karijere, koje se često još mogu osloniti na potporu roditeljske generacije (koja trenutno nije u toj mjeri zahvaćena krizom). Međutim, ovakva situacija može značajno odgoditi ili otežati njihovo stambeno osamostaljivanje, zasnivanje obitelji, otplatu preuzetih kredita i sl.</w:t>
      </w:r>
    </w:p>
    <w:p w:rsidR="00501030" w:rsidRPr="00B37C59" w:rsidRDefault="009F4C9F" w:rsidP="00B37C59">
      <w:pPr>
        <w:pStyle w:val="Naslov3"/>
      </w:pPr>
      <w:bookmarkStart w:id="21" w:name="_Toc351539732"/>
      <w:r w:rsidRPr="00B37C59">
        <w:t xml:space="preserve">1.1.3 </w:t>
      </w:r>
      <w:r w:rsidR="00501030" w:rsidRPr="00B37C59">
        <w:t>PLAĆE</w:t>
      </w:r>
      <w:bookmarkEnd w:id="21"/>
    </w:p>
    <w:p w:rsidR="00501030" w:rsidRPr="004C6931" w:rsidRDefault="0062489F" w:rsidP="004C6931">
      <w:pPr>
        <w:spacing w:line="240" w:lineRule="auto"/>
        <w:jc w:val="both"/>
        <w:rPr>
          <w:rFonts w:ascii="Corbel" w:hAnsi="Corbel" w:cs="Times New Roman"/>
        </w:rPr>
      </w:pPr>
      <w:r w:rsidRPr="004C6931">
        <w:rPr>
          <w:rFonts w:ascii="Corbel" w:hAnsi="Corbel" w:cs="Times New Roman"/>
        </w:rPr>
        <w:t xml:space="preserve">Prema podacima DZS-a visina prosječne neto plaće u Zadarskoj županiji iznosi 5.137 kn u 2010. godini. Plaće su </w:t>
      </w:r>
      <w:r w:rsidRPr="004C6931">
        <w:rPr>
          <w:rFonts w:ascii="Corbel" w:hAnsi="Corbel" w:cs="Times New Roman"/>
          <w:b/>
        </w:rPr>
        <w:t xml:space="preserve">kontinuirano i stabilno rasle kroz cijelo posljednje desetljeće </w:t>
      </w:r>
      <w:r w:rsidRPr="004C6931">
        <w:rPr>
          <w:rFonts w:ascii="Corbel" w:hAnsi="Corbel" w:cs="Times New Roman"/>
        </w:rPr>
        <w:t xml:space="preserve">te su u odnosu na 2001. godinu porasle za 48,43%. </w:t>
      </w:r>
      <w:r w:rsidR="006F09D2" w:rsidRPr="004C6931">
        <w:rPr>
          <w:rFonts w:ascii="Corbel" w:hAnsi="Corbel" w:cs="Times New Roman"/>
        </w:rPr>
        <w:t xml:space="preserve"> </w:t>
      </w:r>
      <w:r w:rsidRPr="004C6931">
        <w:rPr>
          <w:rFonts w:ascii="Corbel" w:hAnsi="Corbel" w:cs="Times New Roman"/>
        </w:rPr>
        <w:t xml:space="preserve">Plaće u Zadarskoj županiji slijede trend porasta </w:t>
      </w:r>
      <w:r w:rsidR="001219B6" w:rsidRPr="004C6931">
        <w:rPr>
          <w:rFonts w:ascii="Corbel" w:hAnsi="Corbel" w:cs="Times New Roman"/>
        </w:rPr>
        <w:t>plaća na razini Jadranske RH i kreću se između 5.031 kn u Šibensko-kninskoj županiji do 5.312 kn u Primorsko-goranskoj županiji.</w:t>
      </w:r>
      <w:r w:rsidR="00106040" w:rsidRPr="004C6931">
        <w:rPr>
          <w:rFonts w:ascii="Corbel" w:hAnsi="Corbel" w:cs="Times New Roman"/>
        </w:rPr>
        <w:t xml:space="preserve"> </w:t>
      </w:r>
      <w:r w:rsidRPr="004C6931">
        <w:rPr>
          <w:rFonts w:ascii="Corbel" w:hAnsi="Corbel" w:cs="Times New Roman"/>
        </w:rPr>
        <w:t>Zadarska županija je na četvrtom mjestu po visini plaće od izabranih Jadranskih županija.</w:t>
      </w:r>
    </w:p>
    <w:p w:rsidR="001F143F" w:rsidRPr="009A7707" w:rsidRDefault="001F143F" w:rsidP="001F143F">
      <w:pPr>
        <w:pStyle w:val="Opisslike"/>
        <w:keepNext/>
      </w:pPr>
      <w:bookmarkStart w:id="22" w:name="_Toc351538413"/>
      <w:r w:rsidRPr="009A7707">
        <w:t xml:space="preserve">Tablica </w:t>
      </w:r>
      <w:fldSimple w:instr=" SEQ Tablica \* ARABIC ">
        <w:r w:rsidR="00280AAE">
          <w:rPr>
            <w:noProof/>
          </w:rPr>
          <w:t>8</w:t>
        </w:r>
      </w:fldSimple>
      <w:r w:rsidRPr="009A7707">
        <w:t>.: Visina prosječne</w:t>
      </w:r>
      <w:r w:rsidR="001371B3" w:rsidRPr="009A7707">
        <w:t xml:space="preserve"> isplaćene neto</w:t>
      </w:r>
      <w:r w:rsidRPr="009A7707">
        <w:t xml:space="preserve"> plaće u Zadarskoj županiji po godinama</w:t>
      </w:r>
      <w:bookmarkEnd w:id="22"/>
    </w:p>
    <w:tbl>
      <w:tblPr>
        <w:tblW w:w="9007" w:type="dxa"/>
        <w:tblInd w:w="93" w:type="dxa"/>
        <w:tblLook w:val="04A0" w:firstRow="1" w:lastRow="0" w:firstColumn="1" w:lastColumn="0" w:noHBand="0" w:noVBand="1"/>
      </w:tblPr>
      <w:tblGrid>
        <w:gridCol w:w="1527"/>
        <w:gridCol w:w="2417"/>
        <w:gridCol w:w="2417"/>
        <w:gridCol w:w="2646"/>
      </w:tblGrid>
      <w:tr w:rsidR="001F143F" w:rsidRPr="009A7707" w:rsidTr="002D67E4">
        <w:trPr>
          <w:trHeight w:val="251"/>
        </w:trPr>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 </w:t>
            </w:r>
          </w:p>
        </w:tc>
        <w:tc>
          <w:tcPr>
            <w:tcW w:w="2417" w:type="dxa"/>
            <w:tcBorders>
              <w:top w:val="single" w:sz="4" w:space="0" w:color="auto"/>
              <w:left w:val="nil"/>
              <w:bottom w:val="single" w:sz="4" w:space="0" w:color="auto"/>
              <w:right w:val="single" w:sz="4" w:space="0" w:color="auto"/>
            </w:tcBorders>
            <w:shd w:val="clear" w:color="auto" w:fill="auto"/>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Prosječna plaća</w:t>
            </w:r>
          </w:p>
        </w:tc>
        <w:tc>
          <w:tcPr>
            <w:tcW w:w="2417" w:type="dxa"/>
            <w:tcBorders>
              <w:top w:val="single" w:sz="4" w:space="0" w:color="auto"/>
              <w:left w:val="nil"/>
              <w:bottom w:val="single" w:sz="4" w:space="0" w:color="auto"/>
              <w:right w:val="single" w:sz="4" w:space="0" w:color="auto"/>
            </w:tcBorders>
            <w:shd w:val="clear" w:color="auto" w:fill="auto"/>
            <w:noWrap/>
            <w:vAlign w:val="bottom"/>
            <w:hideMark/>
          </w:tcPr>
          <w:p w:rsidR="00514F3B" w:rsidRPr="009A7707" w:rsidRDefault="00410624"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I</w:t>
            </w:r>
            <w:r w:rsidR="00514F3B" w:rsidRPr="009A7707">
              <w:rPr>
                <w:rFonts w:ascii="Times New Roman" w:eastAsia="Times New Roman" w:hAnsi="Times New Roman" w:cs="Times New Roman"/>
                <w:color w:val="000000"/>
                <w:lang w:eastAsia="hr-HR"/>
              </w:rPr>
              <w:t>ndeks</w:t>
            </w:r>
          </w:p>
        </w:tc>
        <w:tc>
          <w:tcPr>
            <w:tcW w:w="2646" w:type="dxa"/>
            <w:tcBorders>
              <w:top w:val="single" w:sz="4" w:space="0" w:color="auto"/>
              <w:left w:val="nil"/>
              <w:bottom w:val="single" w:sz="4" w:space="0" w:color="auto"/>
              <w:right w:val="single" w:sz="4" w:space="0" w:color="auto"/>
            </w:tcBorders>
            <w:shd w:val="clear" w:color="auto" w:fill="auto"/>
            <w:vAlign w:val="bottom"/>
            <w:hideMark/>
          </w:tcPr>
          <w:p w:rsidR="00514F3B" w:rsidRPr="009A7707" w:rsidRDefault="00410624"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I</w:t>
            </w:r>
            <w:r w:rsidR="00514F3B" w:rsidRPr="009A7707">
              <w:rPr>
                <w:rFonts w:ascii="Times New Roman" w:eastAsia="Times New Roman" w:hAnsi="Times New Roman" w:cs="Times New Roman"/>
                <w:color w:val="000000"/>
                <w:lang w:eastAsia="hr-HR"/>
              </w:rPr>
              <w:t>ndeks 2001</w:t>
            </w:r>
            <w:r w:rsidR="00106040">
              <w:rPr>
                <w:rFonts w:ascii="Times New Roman" w:eastAsia="Times New Roman" w:hAnsi="Times New Roman" w:cs="Times New Roman"/>
                <w:color w:val="000000"/>
                <w:lang w:eastAsia="hr-HR"/>
              </w:rPr>
              <w:t>.=1</w:t>
            </w:r>
            <w:r w:rsidR="00514F3B" w:rsidRPr="009A7707">
              <w:rPr>
                <w:rFonts w:ascii="Times New Roman" w:eastAsia="Times New Roman" w:hAnsi="Times New Roman" w:cs="Times New Roman"/>
                <w:color w:val="000000"/>
                <w:lang w:eastAsia="hr-HR"/>
              </w:rPr>
              <w:t>00</w:t>
            </w:r>
          </w:p>
        </w:tc>
      </w:tr>
      <w:tr w:rsidR="001F143F" w:rsidRPr="009A7707" w:rsidTr="002D67E4">
        <w:trPr>
          <w:trHeight w:val="126"/>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2001.</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3461,00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 -</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100,00</w:t>
            </w:r>
          </w:p>
        </w:tc>
      </w:tr>
      <w:tr w:rsidR="001F143F" w:rsidRPr="009A7707" w:rsidTr="002D67E4">
        <w:trPr>
          <w:trHeight w:val="126"/>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2002.</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3628,00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104,83</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104,83</w:t>
            </w:r>
          </w:p>
        </w:tc>
      </w:tr>
      <w:tr w:rsidR="001F143F" w:rsidRPr="009A7707" w:rsidTr="002D67E4">
        <w:trPr>
          <w:trHeight w:val="239"/>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2003.</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3960,00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109,15</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114,42</w:t>
            </w:r>
          </w:p>
        </w:tc>
      </w:tr>
      <w:tr w:rsidR="001F143F" w:rsidRPr="009A7707" w:rsidTr="002D67E4">
        <w:trPr>
          <w:trHeight w:val="176"/>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2004.</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4133,00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104,37</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119,42</w:t>
            </w:r>
          </w:p>
        </w:tc>
      </w:tr>
      <w:tr w:rsidR="001F143F" w:rsidRPr="009A7707" w:rsidTr="002D67E4">
        <w:trPr>
          <w:trHeight w:val="126"/>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2005.</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4327,00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104,69</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125,02</w:t>
            </w:r>
          </w:p>
        </w:tc>
      </w:tr>
      <w:tr w:rsidR="001F143F" w:rsidRPr="009A7707" w:rsidTr="002D67E4">
        <w:trPr>
          <w:trHeight w:val="209"/>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2006.</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4423,00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102,22</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127,80</w:t>
            </w:r>
          </w:p>
        </w:tc>
      </w:tr>
      <w:tr w:rsidR="001F143F" w:rsidRPr="009A7707" w:rsidTr="002D67E4">
        <w:trPr>
          <w:trHeight w:val="126"/>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2007.</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4659,00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105,34</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134,61</w:t>
            </w:r>
          </w:p>
        </w:tc>
      </w:tr>
      <w:tr w:rsidR="001F143F" w:rsidRPr="009A7707" w:rsidTr="002D67E4">
        <w:trPr>
          <w:trHeight w:val="217"/>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2008.</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4996,00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107,23</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144,35</w:t>
            </w:r>
          </w:p>
        </w:tc>
      </w:tr>
      <w:tr w:rsidR="001F143F" w:rsidRPr="009A7707" w:rsidTr="002D67E4">
        <w:trPr>
          <w:trHeight w:val="126"/>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2009.</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5105,00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102,18</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147,50</w:t>
            </w:r>
          </w:p>
        </w:tc>
      </w:tr>
      <w:tr w:rsidR="001F143F" w:rsidRPr="009A7707" w:rsidTr="002D67E4">
        <w:trPr>
          <w:trHeight w:val="251"/>
        </w:trPr>
        <w:tc>
          <w:tcPr>
            <w:tcW w:w="1527" w:type="dxa"/>
            <w:tcBorders>
              <w:top w:val="nil"/>
              <w:left w:val="single" w:sz="4" w:space="0" w:color="auto"/>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2010.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5137,00</w:t>
            </w:r>
          </w:p>
        </w:tc>
        <w:tc>
          <w:tcPr>
            <w:tcW w:w="2417"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100,63</w:t>
            </w:r>
          </w:p>
        </w:tc>
        <w:tc>
          <w:tcPr>
            <w:tcW w:w="2646" w:type="dxa"/>
            <w:tcBorders>
              <w:top w:val="nil"/>
              <w:left w:val="nil"/>
              <w:bottom w:val="single" w:sz="4" w:space="0" w:color="auto"/>
              <w:right w:val="single" w:sz="4" w:space="0" w:color="auto"/>
            </w:tcBorders>
            <w:shd w:val="clear" w:color="auto" w:fill="auto"/>
            <w:noWrap/>
            <w:vAlign w:val="bottom"/>
            <w:hideMark/>
          </w:tcPr>
          <w:p w:rsidR="00514F3B" w:rsidRPr="009A7707" w:rsidRDefault="00514F3B" w:rsidP="00514F3B">
            <w:pPr>
              <w:spacing w:after="0" w:line="240" w:lineRule="auto"/>
              <w:jc w:val="right"/>
              <w:rPr>
                <w:rFonts w:ascii="Times New Roman" w:eastAsia="Times New Roman" w:hAnsi="Times New Roman" w:cs="Times New Roman"/>
                <w:color w:val="000000"/>
                <w:lang w:eastAsia="hr-HR"/>
              </w:rPr>
            </w:pPr>
            <w:r w:rsidRPr="009A7707">
              <w:rPr>
                <w:rFonts w:ascii="Times New Roman" w:eastAsia="Times New Roman" w:hAnsi="Times New Roman" w:cs="Times New Roman"/>
                <w:color w:val="000000"/>
                <w:lang w:eastAsia="hr-HR"/>
              </w:rPr>
              <w:t>148,43</w:t>
            </w:r>
          </w:p>
        </w:tc>
      </w:tr>
    </w:tbl>
    <w:p w:rsidR="001219B6" w:rsidRPr="001219B6" w:rsidRDefault="004E7B02" w:rsidP="00F367B4">
      <w:pPr>
        <w:rPr>
          <w:rFonts w:ascii="Times New Roman" w:hAnsi="Times New Roman" w:cs="Times New Roman"/>
          <w:sz w:val="20"/>
        </w:rPr>
      </w:pPr>
      <w:r w:rsidRPr="009A7707">
        <w:rPr>
          <w:rFonts w:ascii="Times New Roman" w:hAnsi="Times New Roman" w:cs="Times New Roman"/>
          <w:sz w:val="20"/>
        </w:rPr>
        <w:t>Izvor: DZS, Statistička izvješća, zaposlenost i plaće, po godinama, obrada: ZADRA</w:t>
      </w:r>
    </w:p>
    <w:p w:rsidR="009A7707" w:rsidRDefault="009A7707" w:rsidP="009A7707">
      <w:pPr>
        <w:pStyle w:val="Opisslike"/>
        <w:keepNext/>
      </w:pPr>
      <w:bookmarkStart w:id="23" w:name="_Toc351538474"/>
      <w:r>
        <w:lastRenderedPageBreak/>
        <w:t xml:space="preserve">Slika </w:t>
      </w:r>
      <w:fldSimple w:instr=" SEQ Slika \* ARABIC ">
        <w:r w:rsidR="001E7A09">
          <w:rPr>
            <w:noProof/>
          </w:rPr>
          <w:t>11</w:t>
        </w:r>
      </w:fldSimple>
      <w:r>
        <w:t>.:</w:t>
      </w:r>
      <w:r w:rsidR="001219B6">
        <w:t xml:space="preserve"> </w:t>
      </w:r>
      <w:r>
        <w:t>Indeks neto plaća po županijama od 2001.-2010., 2001=100</w:t>
      </w:r>
      <w:bookmarkEnd w:id="23"/>
    </w:p>
    <w:p w:rsidR="009A7707" w:rsidRDefault="009A7707" w:rsidP="009A7707">
      <w:pPr>
        <w:spacing w:after="0"/>
        <w:rPr>
          <w:rFonts w:ascii="Times New Roman" w:hAnsi="Times New Roman" w:cs="Times New Roman"/>
          <w:sz w:val="24"/>
          <w:highlight w:val="yellow"/>
        </w:rPr>
      </w:pPr>
      <w:r>
        <w:rPr>
          <w:noProof/>
          <w:lang w:eastAsia="hr-HR"/>
        </w:rPr>
        <w:drawing>
          <wp:inline distT="0" distB="0" distL="0" distR="0" wp14:anchorId="3EAC6D2D" wp14:editId="77E52F3C">
            <wp:extent cx="4962525" cy="2905125"/>
            <wp:effectExtent l="0" t="0" r="9525" b="9525"/>
            <wp:docPr id="16" name="Grafikon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A7707" w:rsidRPr="009A7707" w:rsidRDefault="009A7707" w:rsidP="009A7707">
      <w:pPr>
        <w:rPr>
          <w:rFonts w:ascii="Times New Roman" w:hAnsi="Times New Roman" w:cs="Times New Roman"/>
          <w:sz w:val="20"/>
        </w:rPr>
      </w:pPr>
      <w:r w:rsidRPr="009A7707">
        <w:rPr>
          <w:rFonts w:ascii="Times New Roman" w:hAnsi="Times New Roman" w:cs="Times New Roman"/>
          <w:sz w:val="20"/>
        </w:rPr>
        <w:t>Izvor: DZS, Statistička izvješća, zaposlenost i plaće, po godinama, obrada: ZADRA</w:t>
      </w:r>
    </w:p>
    <w:p w:rsidR="00A12BF3" w:rsidRDefault="00A12BF3" w:rsidP="00A12BF3">
      <w:pPr>
        <w:pStyle w:val="Opisslike"/>
        <w:keepNext/>
      </w:pPr>
      <w:bookmarkStart w:id="24" w:name="_Toc351538475"/>
      <w:r>
        <w:t xml:space="preserve">Slika </w:t>
      </w:r>
      <w:fldSimple w:instr=" SEQ Slika \* ARABIC ">
        <w:r w:rsidR="001E7A09">
          <w:rPr>
            <w:noProof/>
          </w:rPr>
          <w:t>12</w:t>
        </w:r>
      </w:fldSimple>
      <w:r>
        <w:t>.: Visina prosječne neto plaće po županijama u 2010. godini</w:t>
      </w:r>
      <w:bookmarkEnd w:id="24"/>
    </w:p>
    <w:p w:rsidR="00902F01" w:rsidRDefault="00902F01" w:rsidP="009430FA">
      <w:pPr>
        <w:spacing w:after="0"/>
        <w:rPr>
          <w:rFonts w:ascii="Times New Roman" w:hAnsi="Times New Roman" w:cs="Times New Roman"/>
          <w:sz w:val="24"/>
          <w:highlight w:val="yellow"/>
        </w:rPr>
      </w:pPr>
      <w:r>
        <w:rPr>
          <w:noProof/>
          <w:lang w:eastAsia="hr-HR"/>
        </w:rPr>
        <w:drawing>
          <wp:inline distT="0" distB="0" distL="0" distR="0" wp14:anchorId="0D4968D4" wp14:editId="544737CC">
            <wp:extent cx="4953000" cy="3048000"/>
            <wp:effectExtent l="0" t="0" r="19050" b="19050"/>
            <wp:docPr id="15" name="Grafikon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12BF3" w:rsidRPr="009A7707" w:rsidRDefault="00A12BF3" w:rsidP="00A12BF3">
      <w:pPr>
        <w:rPr>
          <w:rFonts w:ascii="Times New Roman" w:hAnsi="Times New Roman" w:cs="Times New Roman"/>
          <w:sz w:val="20"/>
        </w:rPr>
      </w:pPr>
      <w:r w:rsidRPr="009A7707">
        <w:rPr>
          <w:rFonts w:ascii="Times New Roman" w:hAnsi="Times New Roman" w:cs="Times New Roman"/>
          <w:sz w:val="20"/>
        </w:rPr>
        <w:t xml:space="preserve">Izvor: DZS, Statistička izvješća, zaposlenost i plaće, </w:t>
      </w:r>
      <w:r>
        <w:rPr>
          <w:rFonts w:ascii="Times New Roman" w:hAnsi="Times New Roman" w:cs="Times New Roman"/>
          <w:sz w:val="20"/>
        </w:rPr>
        <w:t>2010</w:t>
      </w:r>
      <w:r w:rsidRPr="009A7707">
        <w:rPr>
          <w:rFonts w:ascii="Times New Roman" w:hAnsi="Times New Roman" w:cs="Times New Roman"/>
          <w:sz w:val="20"/>
        </w:rPr>
        <w:t>, obrada: ZADRA</w:t>
      </w:r>
    </w:p>
    <w:p w:rsidR="001353C9" w:rsidRPr="004C6931" w:rsidRDefault="005E6CB2" w:rsidP="004C6931">
      <w:pPr>
        <w:spacing w:line="240" w:lineRule="auto"/>
        <w:jc w:val="both"/>
        <w:rPr>
          <w:rFonts w:ascii="Corbel" w:hAnsi="Corbel" w:cs="Times New Roman"/>
        </w:rPr>
      </w:pPr>
      <w:r w:rsidRPr="004C6931">
        <w:rPr>
          <w:rFonts w:ascii="Corbel" w:hAnsi="Corbel" w:cs="Times New Roman"/>
        </w:rPr>
        <w:t>Prethodne slike pokazuju stabilan rast plaća na razini Jadranske regije od 2001. na ovamo. Daljnjim prikazom možemo vidjeti koje su to djelatnosti sa najvišim plaćama u Zadarskoj županiji, tj. djelatnosti koje su plaćene više od županijskog prosjeka.</w:t>
      </w:r>
      <w:r w:rsidR="007148CC" w:rsidRPr="004C6931">
        <w:rPr>
          <w:rFonts w:ascii="Corbel" w:hAnsi="Corbel" w:cs="Times New Roman"/>
        </w:rPr>
        <w:t xml:space="preserve"> </w:t>
      </w:r>
      <w:r w:rsidR="007148CC" w:rsidRPr="004C6931">
        <w:rPr>
          <w:rFonts w:ascii="Corbel" w:hAnsi="Corbel" w:cs="Times New Roman"/>
          <w:b/>
        </w:rPr>
        <w:t>U 2010.-oj godini</w:t>
      </w:r>
      <w:r w:rsidR="001353C9" w:rsidRPr="004C6931">
        <w:rPr>
          <w:rFonts w:ascii="Corbel" w:hAnsi="Corbel" w:cs="Times New Roman"/>
          <w:b/>
        </w:rPr>
        <w:t xml:space="preserve"> (prema NKD 2007)</w:t>
      </w:r>
      <w:r w:rsidR="007148CC" w:rsidRPr="004C6931">
        <w:rPr>
          <w:rFonts w:ascii="Corbel" w:hAnsi="Corbel" w:cs="Times New Roman"/>
          <w:b/>
        </w:rPr>
        <w:t xml:space="preserve"> </w:t>
      </w:r>
      <w:r w:rsidR="001353C9" w:rsidRPr="004C6931">
        <w:rPr>
          <w:rFonts w:ascii="Corbel" w:hAnsi="Corbel" w:cs="Times New Roman"/>
          <w:b/>
        </w:rPr>
        <w:t>djelatnosti sa najvišim prosječnim isplaćenim plaćama su</w:t>
      </w:r>
      <w:r w:rsidR="001353C9" w:rsidRPr="004C6931">
        <w:rPr>
          <w:rFonts w:ascii="Corbel" w:hAnsi="Corbel" w:cs="Times New Roman"/>
        </w:rPr>
        <w:t>:</w:t>
      </w:r>
    </w:p>
    <w:p w:rsidR="001353C9" w:rsidRPr="004C6931" w:rsidRDefault="00077EA5" w:rsidP="004C6931">
      <w:pPr>
        <w:pStyle w:val="Odlomakpopisa"/>
        <w:numPr>
          <w:ilvl w:val="0"/>
          <w:numId w:val="5"/>
        </w:numPr>
        <w:spacing w:line="240" w:lineRule="auto"/>
        <w:rPr>
          <w:rFonts w:ascii="Corbel" w:hAnsi="Corbel" w:cs="Times New Roman"/>
        </w:rPr>
      </w:pPr>
      <w:r w:rsidRPr="004C6931">
        <w:rPr>
          <w:rFonts w:ascii="Corbel" w:hAnsi="Corbel" w:cs="Times New Roman"/>
        </w:rPr>
        <w:t xml:space="preserve">(D) </w:t>
      </w:r>
      <w:r w:rsidR="001353C9" w:rsidRPr="004C6931">
        <w:rPr>
          <w:rFonts w:ascii="Corbel" w:hAnsi="Corbel" w:cs="Times New Roman"/>
        </w:rPr>
        <w:t>Opskrba električnom energijom, plinom, parom i klimatizacija</w:t>
      </w:r>
      <w:r w:rsidR="002761DD" w:rsidRPr="004C6931">
        <w:rPr>
          <w:rStyle w:val="Referencafusnote"/>
          <w:rFonts w:ascii="Corbel" w:hAnsi="Corbel" w:cs="Times New Roman"/>
        </w:rPr>
        <w:footnoteReference w:id="4"/>
      </w:r>
    </w:p>
    <w:p w:rsidR="001353C9" w:rsidRPr="004C6931" w:rsidRDefault="00077EA5" w:rsidP="004C6931">
      <w:pPr>
        <w:pStyle w:val="Odlomakpopisa"/>
        <w:numPr>
          <w:ilvl w:val="0"/>
          <w:numId w:val="5"/>
        </w:numPr>
        <w:spacing w:line="240" w:lineRule="auto"/>
        <w:rPr>
          <w:rFonts w:ascii="Corbel" w:hAnsi="Corbel" w:cs="Times New Roman"/>
        </w:rPr>
      </w:pPr>
      <w:r w:rsidRPr="004C6931">
        <w:rPr>
          <w:rFonts w:ascii="Corbel" w:hAnsi="Corbel" w:cs="Times New Roman"/>
        </w:rPr>
        <w:lastRenderedPageBreak/>
        <w:t xml:space="preserve">(H) </w:t>
      </w:r>
      <w:r w:rsidR="001353C9" w:rsidRPr="004C6931">
        <w:rPr>
          <w:rFonts w:ascii="Corbel" w:hAnsi="Corbel" w:cs="Times New Roman"/>
        </w:rPr>
        <w:t>Prijevoz i skladištenje</w:t>
      </w:r>
      <w:r w:rsidR="00096903" w:rsidRPr="004C6931">
        <w:rPr>
          <w:rStyle w:val="Referencafusnote"/>
          <w:rFonts w:ascii="Corbel" w:hAnsi="Corbel" w:cs="Times New Roman"/>
        </w:rPr>
        <w:footnoteReference w:id="5"/>
      </w:r>
    </w:p>
    <w:p w:rsidR="00077EA5" w:rsidRPr="004C6931" w:rsidRDefault="00077EA5" w:rsidP="004C6931">
      <w:pPr>
        <w:pStyle w:val="Odlomakpopisa"/>
        <w:numPr>
          <w:ilvl w:val="0"/>
          <w:numId w:val="5"/>
        </w:numPr>
        <w:spacing w:line="240" w:lineRule="auto"/>
        <w:rPr>
          <w:rFonts w:ascii="Corbel" w:hAnsi="Corbel" w:cs="Times New Roman"/>
        </w:rPr>
      </w:pPr>
      <w:r w:rsidRPr="004C6931">
        <w:rPr>
          <w:rFonts w:ascii="Corbel" w:hAnsi="Corbel" w:cs="Times New Roman"/>
        </w:rPr>
        <w:t>(K) Financijske djelatnosti i djelatnosti osiguranja</w:t>
      </w:r>
    </w:p>
    <w:p w:rsidR="001353C9" w:rsidRPr="004C6931" w:rsidRDefault="00077EA5" w:rsidP="004C6931">
      <w:pPr>
        <w:pStyle w:val="Odlomakpopisa"/>
        <w:numPr>
          <w:ilvl w:val="0"/>
          <w:numId w:val="5"/>
        </w:numPr>
        <w:spacing w:line="240" w:lineRule="auto"/>
        <w:rPr>
          <w:rFonts w:ascii="Corbel" w:hAnsi="Corbel" w:cs="Times New Roman"/>
        </w:rPr>
      </w:pPr>
      <w:r w:rsidRPr="004C6931">
        <w:rPr>
          <w:rFonts w:ascii="Corbel" w:hAnsi="Corbel" w:cs="Times New Roman"/>
        </w:rPr>
        <w:t xml:space="preserve">(O) </w:t>
      </w:r>
      <w:r w:rsidR="001353C9" w:rsidRPr="004C6931">
        <w:rPr>
          <w:rFonts w:ascii="Corbel" w:hAnsi="Corbel" w:cs="Times New Roman"/>
        </w:rPr>
        <w:t>Javna uprava i obrana; obvezno socijalno osiguranje</w:t>
      </w:r>
    </w:p>
    <w:p w:rsidR="001353C9" w:rsidRPr="004C6931" w:rsidRDefault="00077EA5" w:rsidP="004C6931">
      <w:pPr>
        <w:pStyle w:val="Odlomakpopisa"/>
        <w:numPr>
          <w:ilvl w:val="0"/>
          <w:numId w:val="5"/>
        </w:numPr>
        <w:spacing w:line="240" w:lineRule="auto"/>
        <w:rPr>
          <w:rFonts w:ascii="Corbel" w:hAnsi="Corbel" w:cs="Times New Roman"/>
        </w:rPr>
      </w:pPr>
      <w:r w:rsidRPr="004C6931">
        <w:rPr>
          <w:rFonts w:ascii="Corbel" w:hAnsi="Corbel" w:cs="Times New Roman"/>
        </w:rPr>
        <w:t xml:space="preserve">(Q) </w:t>
      </w:r>
      <w:r w:rsidR="001353C9" w:rsidRPr="004C6931">
        <w:rPr>
          <w:rFonts w:ascii="Corbel" w:hAnsi="Corbel" w:cs="Times New Roman"/>
        </w:rPr>
        <w:t>Djelatnosti zdravstvene zaštite i socijalne skrbi</w:t>
      </w:r>
    </w:p>
    <w:p w:rsidR="001353C9" w:rsidRPr="004C6931" w:rsidRDefault="005030A8" w:rsidP="004C6931">
      <w:pPr>
        <w:spacing w:line="240" w:lineRule="auto"/>
        <w:jc w:val="both"/>
        <w:rPr>
          <w:rFonts w:ascii="Corbel" w:hAnsi="Corbel" w:cs="Times New Roman"/>
        </w:rPr>
      </w:pPr>
      <w:r w:rsidRPr="004C6931">
        <w:rPr>
          <w:rFonts w:ascii="Corbel" w:hAnsi="Corbel" w:cs="Times New Roman"/>
          <w:b/>
        </w:rPr>
        <w:t xml:space="preserve">Dvije od </w:t>
      </w:r>
      <w:r w:rsidR="00077EA5" w:rsidRPr="004C6931">
        <w:rPr>
          <w:rFonts w:ascii="Corbel" w:hAnsi="Corbel" w:cs="Times New Roman"/>
          <w:b/>
        </w:rPr>
        <w:t>pet</w:t>
      </w:r>
      <w:r w:rsidRPr="004C6931">
        <w:rPr>
          <w:rFonts w:ascii="Corbel" w:hAnsi="Corbel" w:cs="Times New Roman"/>
          <w:b/>
        </w:rPr>
        <w:t xml:space="preserve"> djelatnosti direktno su vezane uz plaće zaposlenika u javnom sektoru</w:t>
      </w:r>
      <w:r w:rsidR="007D5FBE" w:rsidRPr="004C6931">
        <w:rPr>
          <w:rFonts w:ascii="Corbel" w:hAnsi="Corbel" w:cs="Times New Roman"/>
          <w:b/>
        </w:rPr>
        <w:t xml:space="preserve"> kojima je poslodavac država</w:t>
      </w:r>
      <w:r w:rsidR="00077EA5" w:rsidRPr="004C6931">
        <w:rPr>
          <w:rFonts w:ascii="Corbel" w:hAnsi="Corbel" w:cs="Times New Roman"/>
        </w:rPr>
        <w:t>. Poznato je</w:t>
      </w:r>
      <w:r w:rsidR="007D5FBE" w:rsidRPr="004C6931">
        <w:rPr>
          <w:rFonts w:ascii="Corbel" w:hAnsi="Corbel" w:cs="Times New Roman"/>
        </w:rPr>
        <w:t xml:space="preserve"> da su plaće u javnom sektoru stabilnije nego u privatnom sektoru.</w:t>
      </w:r>
      <w:r w:rsidR="00077EA5" w:rsidRPr="004C6931">
        <w:rPr>
          <w:rFonts w:ascii="Corbel" w:hAnsi="Corbel" w:cs="Times New Roman"/>
        </w:rPr>
        <w:t xml:space="preserve"> Međutim, t</w:t>
      </w:r>
      <w:r w:rsidR="007D5FBE" w:rsidRPr="004C6931">
        <w:rPr>
          <w:rFonts w:ascii="Corbel" w:hAnsi="Corbel" w:cs="Times New Roman"/>
        </w:rPr>
        <w:t xml:space="preserve">reba uzeti u obzir da se radi o 2010. godini kada se kriza već značajno osjetila u gospodarstvu Zadra, a poznato je kako je privatni sektor fleksibilniji i prije reagira na promjene od javnog sektora. Ako usporedimo ranije podatke </w:t>
      </w:r>
      <w:r w:rsidR="00EA3825" w:rsidRPr="004C6931">
        <w:rPr>
          <w:rFonts w:ascii="Corbel" w:hAnsi="Corbel" w:cs="Times New Roman"/>
        </w:rPr>
        <w:t>iz 2007. godine najbolje plaćenim</w:t>
      </w:r>
      <w:r w:rsidR="007D5FBE" w:rsidRPr="004C6931">
        <w:rPr>
          <w:rFonts w:ascii="Corbel" w:hAnsi="Corbel" w:cs="Times New Roman"/>
        </w:rPr>
        <w:t xml:space="preserve"> djelatnosti</w:t>
      </w:r>
      <w:r w:rsidR="00EA3825" w:rsidRPr="004C6931">
        <w:rPr>
          <w:rFonts w:ascii="Corbel" w:hAnsi="Corbel" w:cs="Times New Roman"/>
        </w:rPr>
        <w:t>ma</w:t>
      </w:r>
      <w:r w:rsidR="007D5FBE" w:rsidRPr="004C6931">
        <w:rPr>
          <w:rFonts w:ascii="Corbel" w:hAnsi="Corbel" w:cs="Times New Roman"/>
        </w:rPr>
        <w:t xml:space="preserve"> </w:t>
      </w:r>
      <w:r w:rsidR="00EA3825" w:rsidRPr="004C6931">
        <w:rPr>
          <w:rFonts w:ascii="Corbel" w:hAnsi="Corbel" w:cs="Times New Roman"/>
        </w:rPr>
        <w:t>treba dodati još i</w:t>
      </w:r>
      <w:r w:rsidR="007D5FBE" w:rsidRPr="004C6931">
        <w:rPr>
          <w:rFonts w:ascii="Corbel" w:hAnsi="Corbel" w:cs="Times New Roman"/>
        </w:rPr>
        <w:t xml:space="preserve"> </w:t>
      </w:r>
      <w:r w:rsidR="007D5FBE" w:rsidRPr="004C6931">
        <w:rPr>
          <w:rFonts w:ascii="Corbel" w:hAnsi="Corbel" w:cs="Times New Roman"/>
          <w:b/>
        </w:rPr>
        <w:t>„Ribarstvo“</w:t>
      </w:r>
      <w:r w:rsidR="00EA3825" w:rsidRPr="004C6931">
        <w:rPr>
          <w:rFonts w:ascii="Corbel" w:hAnsi="Corbel" w:cs="Times New Roman"/>
        </w:rPr>
        <w:t xml:space="preserve"> (prema NKD 2002)</w:t>
      </w:r>
      <w:r w:rsidR="007D5FBE" w:rsidRPr="004C6931">
        <w:rPr>
          <w:rFonts w:ascii="Corbel" w:hAnsi="Corbel" w:cs="Times New Roman"/>
        </w:rPr>
        <w:t>.</w:t>
      </w:r>
      <w:r w:rsidR="0074478B" w:rsidRPr="004C6931">
        <w:rPr>
          <w:rFonts w:ascii="Corbel" w:hAnsi="Corbel" w:cs="Times New Roman"/>
        </w:rPr>
        <w:t xml:space="preserve"> </w:t>
      </w:r>
      <w:r w:rsidR="00EA3825" w:rsidRPr="004C6931">
        <w:rPr>
          <w:rFonts w:ascii="Corbel" w:hAnsi="Corbel" w:cs="Times New Roman"/>
        </w:rPr>
        <w:t xml:space="preserve">Najviše isplaćene plaće su u </w:t>
      </w:r>
      <w:r w:rsidR="00EA3825" w:rsidRPr="004C6931">
        <w:rPr>
          <w:rFonts w:ascii="Corbel" w:hAnsi="Corbel" w:cs="Times New Roman"/>
          <w:b/>
        </w:rPr>
        <w:t>financijskim djelatnostima i osiguranju</w:t>
      </w:r>
      <w:r w:rsidR="00EA3825" w:rsidRPr="004C6931">
        <w:rPr>
          <w:rFonts w:ascii="Corbel" w:hAnsi="Corbel" w:cs="Times New Roman"/>
        </w:rPr>
        <w:t xml:space="preserve"> – čak 35% više od prosječne županijske plaće.</w:t>
      </w:r>
    </w:p>
    <w:p w:rsidR="00BE6DD8" w:rsidRDefault="00BE6DD8" w:rsidP="00BE6DD8">
      <w:pPr>
        <w:pStyle w:val="Opisslike"/>
        <w:keepNext/>
      </w:pPr>
      <w:bookmarkStart w:id="25" w:name="_Toc351538476"/>
      <w:r>
        <w:t xml:space="preserve">Slika </w:t>
      </w:r>
      <w:fldSimple w:instr=" SEQ Slika \* ARABIC ">
        <w:r w:rsidR="001E7A09">
          <w:rPr>
            <w:noProof/>
          </w:rPr>
          <w:t>13</w:t>
        </w:r>
      </w:fldSimple>
      <w:r>
        <w:t>.: Prosječna isplaćena neto plaća po djelatnostima za Zadarsku županiju u 2010. godini</w:t>
      </w:r>
      <w:r w:rsidR="00FC0732">
        <w:t>*</w:t>
      </w:r>
      <w:bookmarkEnd w:id="25"/>
    </w:p>
    <w:p w:rsidR="00BE6DD8" w:rsidRDefault="00BE6DD8" w:rsidP="00BE6DD8">
      <w:pPr>
        <w:spacing w:after="0"/>
        <w:rPr>
          <w:rFonts w:ascii="Times New Roman" w:hAnsi="Times New Roman" w:cs="Times New Roman"/>
          <w:sz w:val="24"/>
          <w:highlight w:val="yellow"/>
        </w:rPr>
      </w:pPr>
      <w:r>
        <w:rPr>
          <w:noProof/>
          <w:lang w:eastAsia="hr-HR"/>
        </w:rPr>
        <w:drawing>
          <wp:inline distT="0" distB="0" distL="0" distR="0" wp14:anchorId="4CA39CA9" wp14:editId="4C82965F">
            <wp:extent cx="5629275" cy="3124200"/>
            <wp:effectExtent l="0" t="0" r="9525" b="19050"/>
            <wp:docPr id="12" name="Grafikon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FC0732" w:rsidRPr="004F2FBF" w:rsidRDefault="00BE6DD8" w:rsidP="00FC0732">
      <w:pPr>
        <w:spacing w:after="0"/>
        <w:rPr>
          <w:rFonts w:ascii="Times New Roman" w:hAnsi="Times New Roman" w:cs="Times New Roman"/>
          <w:sz w:val="18"/>
        </w:rPr>
      </w:pPr>
      <w:r w:rsidRPr="004F2FBF">
        <w:rPr>
          <w:rFonts w:ascii="Times New Roman" w:hAnsi="Times New Roman" w:cs="Times New Roman"/>
          <w:sz w:val="18"/>
        </w:rPr>
        <w:t>Izvor: DZS, Statistička izvješća, zaposlenost i plaće, po godinama, obrada: ZADRA</w:t>
      </w:r>
    </w:p>
    <w:p w:rsidR="00FC0732" w:rsidRPr="004F2FBF" w:rsidRDefault="00FC0732" w:rsidP="00FD6957">
      <w:pPr>
        <w:rPr>
          <w:rFonts w:ascii="Times New Roman" w:hAnsi="Times New Roman" w:cs="Times New Roman"/>
          <w:sz w:val="18"/>
        </w:rPr>
      </w:pPr>
      <w:r w:rsidRPr="004F2FBF">
        <w:rPr>
          <w:rFonts w:ascii="Times New Roman" w:hAnsi="Times New Roman" w:cs="Times New Roman"/>
          <w:sz w:val="18"/>
        </w:rPr>
        <w:t>*Pogledati kazalo djelatnosti na kraju poglavlja</w:t>
      </w:r>
    </w:p>
    <w:p w:rsidR="00371493" w:rsidRPr="004C6931" w:rsidRDefault="007D594B" w:rsidP="004C6931">
      <w:pPr>
        <w:jc w:val="both"/>
        <w:rPr>
          <w:rFonts w:ascii="Corbel" w:hAnsi="Corbel" w:cs="Times New Roman"/>
        </w:rPr>
      </w:pPr>
      <w:r w:rsidRPr="004C6931">
        <w:rPr>
          <w:rFonts w:ascii="Corbel" w:hAnsi="Corbel" w:cs="Times New Roman"/>
        </w:rPr>
        <w:t>Prije krize, o</w:t>
      </w:r>
      <w:r w:rsidR="00371493" w:rsidRPr="004C6931">
        <w:rPr>
          <w:rFonts w:ascii="Corbel" w:hAnsi="Corbel" w:cs="Times New Roman"/>
        </w:rPr>
        <w:t xml:space="preserve">d 2001. na ovamo </w:t>
      </w:r>
      <w:r w:rsidRPr="004C6931">
        <w:rPr>
          <w:rFonts w:ascii="Corbel" w:hAnsi="Corbel" w:cs="Times New Roman"/>
        </w:rPr>
        <w:t xml:space="preserve">plaće su </w:t>
      </w:r>
      <w:r w:rsidR="00371493" w:rsidRPr="004C6931">
        <w:rPr>
          <w:rFonts w:ascii="Corbel" w:hAnsi="Corbel" w:cs="Times New Roman"/>
        </w:rPr>
        <w:t>najznačajnije rasle</w:t>
      </w:r>
      <w:r w:rsidRPr="004C6931">
        <w:rPr>
          <w:rFonts w:ascii="Corbel" w:hAnsi="Corbel" w:cs="Times New Roman"/>
        </w:rPr>
        <w:t xml:space="preserve"> u</w:t>
      </w:r>
      <w:r w:rsidR="00371493" w:rsidRPr="004C6931">
        <w:rPr>
          <w:rFonts w:ascii="Corbel" w:hAnsi="Corbel" w:cs="Times New Roman"/>
        </w:rPr>
        <w:t xml:space="preserve"> djelatnost</w:t>
      </w:r>
      <w:r w:rsidRPr="004C6931">
        <w:rPr>
          <w:rFonts w:ascii="Corbel" w:hAnsi="Corbel" w:cs="Times New Roman"/>
        </w:rPr>
        <w:t>ima:</w:t>
      </w:r>
    </w:p>
    <w:p w:rsidR="007D594B" w:rsidRPr="004C6931" w:rsidRDefault="007D594B" w:rsidP="004C6931">
      <w:pPr>
        <w:pStyle w:val="Odlomakpopisa"/>
        <w:numPr>
          <w:ilvl w:val="0"/>
          <w:numId w:val="6"/>
        </w:numPr>
        <w:jc w:val="both"/>
        <w:rPr>
          <w:rFonts w:ascii="Corbel" w:hAnsi="Corbel" w:cs="Times New Roman"/>
        </w:rPr>
      </w:pPr>
      <w:r w:rsidRPr="004C6931">
        <w:rPr>
          <w:rFonts w:ascii="Corbel" w:hAnsi="Corbel" w:cs="Times New Roman"/>
        </w:rPr>
        <w:t>Poljoprivreda, lov i šumarstvo</w:t>
      </w:r>
    </w:p>
    <w:p w:rsidR="007D594B" w:rsidRPr="004C6931" w:rsidRDefault="007D594B" w:rsidP="004C6931">
      <w:pPr>
        <w:pStyle w:val="Odlomakpopisa"/>
        <w:numPr>
          <w:ilvl w:val="0"/>
          <w:numId w:val="6"/>
        </w:numPr>
        <w:jc w:val="both"/>
        <w:rPr>
          <w:rFonts w:ascii="Corbel" w:hAnsi="Corbel" w:cs="Times New Roman"/>
        </w:rPr>
      </w:pPr>
      <w:r w:rsidRPr="004C6931">
        <w:rPr>
          <w:rFonts w:ascii="Corbel" w:hAnsi="Corbel" w:cs="Times New Roman"/>
        </w:rPr>
        <w:t>Ribarstvo</w:t>
      </w:r>
    </w:p>
    <w:p w:rsidR="007D594B" w:rsidRPr="004C6931" w:rsidRDefault="007D594B" w:rsidP="004C6931">
      <w:pPr>
        <w:pStyle w:val="Odlomakpopisa"/>
        <w:numPr>
          <w:ilvl w:val="0"/>
          <w:numId w:val="6"/>
        </w:numPr>
        <w:jc w:val="both"/>
        <w:rPr>
          <w:rFonts w:ascii="Corbel" w:hAnsi="Corbel" w:cs="Times New Roman"/>
        </w:rPr>
      </w:pPr>
      <w:r w:rsidRPr="004C6931">
        <w:rPr>
          <w:rFonts w:ascii="Corbel" w:hAnsi="Corbel" w:cs="Times New Roman"/>
        </w:rPr>
        <w:t>Građevinarstvo</w:t>
      </w:r>
    </w:p>
    <w:p w:rsidR="007D594B" w:rsidRPr="004C6931" w:rsidRDefault="007D594B" w:rsidP="004C6931">
      <w:pPr>
        <w:pStyle w:val="Odlomakpopisa"/>
        <w:numPr>
          <w:ilvl w:val="0"/>
          <w:numId w:val="6"/>
        </w:numPr>
        <w:jc w:val="both"/>
        <w:rPr>
          <w:rFonts w:ascii="Corbel" w:hAnsi="Corbel" w:cs="Times New Roman"/>
        </w:rPr>
      </w:pPr>
      <w:r w:rsidRPr="004C6931">
        <w:rPr>
          <w:rFonts w:ascii="Corbel" w:hAnsi="Corbel" w:cs="Times New Roman"/>
        </w:rPr>
        <w:t>Trgovina na veliko i malo</w:t>
      </w:r>
    </w:p>
    <w:p w:rsidR="007D594B" w:rsidRPr="004C6931" w:rsidRDefault="007D594B" w:rsidP="004C6931">
      <w:pPr>
        <w:pStyle w:val="Odlomakpopisa"/>
        <w:numPr>
          <w:ilvl w:val="0"/>
          <w:numId w:val="6"/>
        </w:numPr>
        <w:jc w:val="both"/>
        <w:rPr>
          <w:rFonts w:ascii="Corbel" w:hAnsi="Corbel" w:cs="Times New Roman"/>
        </w:rPr>
      </w:pPr>
      <w:r w:rsidRPr="004C6931">
        <w:rPr>
          <w:rFonts w:ascii="Corbel" w:hAnsi="Corbel" w:cs="Times New Roman"/>
        </w:rPr>
        <w:t>Poslovanje nekretninama</w:t>
      </w:r>
    </w:p>
    <w:p w:rsidR="007D594B" w:rsidRPr="004C6931" w:rsidRDefault="007D594B" w:rsidP="004C6931">
      <w:pPr>
        <w:jc w:val="both"/>
        <w:rPr>
          <w:rFonts w:ascii="Corbel" w:hAnsi="Corbel" w:cs="Times New Roman"/>
        </w:rPr>
      </w:pPr>
      <w:r w:rsidRPr="004C6931">
        <w:rPr>
          <w:rFonts w:ascii="Corbel" w:hAnsi="Corbel" w:cs="Times New Roman"/>
          <w:b/>
        </w:rPr>
        <w:t xml:space="preserve">Vidljivo je kako među ovima djelatnostima nema djelatnosti koje se mogu okarakterizirati kao isključivo djelatnosti javnog </w:t>
      </w:r>
      <w:r w:rsidR="000571FB" w:rsidRPr="004C6931">
        <w:rPr>
          <w:rFonts w:ascii="Corbel" w:hAnsi="Corbel" w:cs="Times New Roman"/>
          <w:b/>
        </w:rPr>
        <w:t>sektora</w:t>
      </w:r>
      <w:r w:rsidRPr="004C6931">
        <w:rPr>
          <w:rFonts w:ascii="Corbel" w:hAnsi="Corbel" w:cs="Times New Roman"/>
        </w:rPr>
        <w:t xml:space="preserve">, što nam govori kako su </w:t>
      </w:r>
      <w:r w:rsidR="000571FB" w:rsidRPr="004C6931">
        <w:rPr>
          <w:rFonts w:ascii="Corbel" w:hAnsi="Corbel" w:cs="Times New Roman"/>
        </w:rPr>
        <w:t>poduzeća</w:t>
      </w:r>
      <w:r w:rsidRPr="004C6931">
        <w:rPr>
          <w:rFonts w:ascii="Corbel" w:hAnsi="Corbel" w:cs="Times New Roman"/>
        </w:rPr>
        <w:t xml:space="preserve"> ovih sektora u prosper</w:t>
      </w:r>
      <w:r w:rsidR="000571FB" w:rsidRPr="004C6931">
        <w:rPr>
          <w:rFonts w:ascii="Corbel" w:hAnsi="Corbel" w:cs="Times New Roman"/>
        </w:rPr>
        <w:t xml:space="preserve">itetnim godinama </w:t>
      </w:r>
      <w:r w:rsidR="00BE5243" w:rsidRPr="004C6931">
        <w:rPr>
          <w:rFonts w:ascii="Corbel" w:hAnsi="Corbel" w:cs="Times New Roman"/>
        </w:rPr>
        <w:t>dobro</w:t>
      </w:r>
      <w:r w:rsidR="000571FB" w:rsidRPr="004C6931">
        <w:rPr>
          <w:rFonts w:ascii="Corbel" w:hAnsi="Corbel" w:cs="Times New Roman"/>
        </w:rPr>
        <w:t xml:space="preserve"> poslovala</w:t>
      </w:r>
      <w:r w:rsidR="00BE5243" w:rsidRPr="004C6931">
        <w:rPr>
          <w:rFonts w:ascii="Corbel" w:hAnsi="Corbel" w:cs="Times New Roman"/>
        </w:rPr>
        <w:t xml:space="preserve"> (bolje od javnog</w:t>
      </w:r>
      <w:r w:rsidR="003B37B8" w:rsidRPr="004C6931">
        <w:rPr>
          <w:rFonts w:ascii="Corbel" w:hAnsi="Corbel" w:cs="Times New Roman"/>
        </w:rPr>
        <w:t xml:space="preserve"> </w:t>
      </w:r>
      <w:r w:rsidR="00010E15" w:rsidRPr="004C6931">
        <w:rPr>
          <w:rFonts w:ascii="Corbel" w:hAnsi="Corbel" w:cs="Times New Roman"/>
        </w:rPr>
        <w:t>sektora</w:t>
      </w:r>
      <w:r w:rsidR="00BE5243" w:rsidRPr="004C6931">
        <w:rPr>
          <w:rFonts w:ascii="Corbel" w:hAnsi="Corbel" w:cs="Times New Roman"/>
        </w:rPr>
        <w:t>)</w:t>
      </w:r>
      <w:r w:rsidRPr="004C6931">
        <w:rPr>
          <w:rFonts w:ascii="Corbel" w:hAnsi="Corbel" w:cs="Times New Roman"/>
        </w:rPr>
        <w:t xml:space="preserve"> te su bi</w:t>
      </w:r>
      <w:r w:rsidR="000571FB" w:rsidRPr="004C6931">
        <w:rPr>
          <w:rFonts w:ascii="Corbel" w:hAnsi="Corbel" w:cs="Times New Roman"/>
        </w:rPr>
        <w:t>la</w:t>
      </w:r>
      <w:r w:rsidRPr="004C6931">
        <w:rPr>
          <w:rFonts w:ascii="Corbel" w:hAnsi="Corbel" w:cs="Times New Roman"/>
        </w:rPr>
        <w:t xml:space="preserve"> u mogućnosti povećavati</w:t>
      </w:r>
      <w:r w:rsidR="000571FB" w:rsidRPr="004C6931">
        <w:rPr>
          <w:rFonts w:ascii="Corbel" w:hAnsi="Corbel" w:cs="Times New Roman"/>
        </w:rPr>
        <w:t xml:space="preserve"> svoje</w:t>
      </w:r>
      <w:r w:rsidRPr="004C6931">
        <w:rPr>
          <w:rFonts w:ascii="Corbel" w:hAnsi="Corbel" w:cs="Times New Roman"/>
        </w:rPr>
        <w:t xml:space="preserve"> plaće brže od </w:t>
      </w:r>
      <w:r w:rsidR="000571FB" w:rsidRPr="004C6931">
        <w:rPr>
          <w:rFonts w:ascii="Corbel" w:hAnsi="Corbel" w:cs="Times New Roman"/>
        </w:rPr>
        <w:t xml:space="preserve">poduzeća iz </w:t>
      </w:r>
      <w:r w:rsidRPr="004C6931">
        <w:rPr>
          <w:rFonts w:ascii="Corbel" w:hAnsi="Corbel" w:cs="Times New Roman"/>
        </w:rPr>
        <w:t>ostalih djelatnosti. Ove djelatnosti su</w:t>
      </w:r>
      <w:r w:rsidR="000571FB" w:rsidRPr="004C6931">
        <w:rPr>
          <w:rFonts w:ascii="Corbel" w:hAnsi="Corbel" w:cs="Times New Roman"/>
        </w:rPr>
        <w:t xml:space="preserve"> u razdoblju od </w:t>
      </w:r>
      <w:r w:rsidR="000571FB" w:rsidRPr="004C6931">
        <w:rPr>
          <w:rFonts w:ascii="Corbel" w:hAnsi="Corbel" w:cs="Times New Roman"/>
        </w:rPr>
        <w:lastRenderedPageBreak/>
        <w:t xml:space="preserve">2001.do </w:t>
      </w:r>
      <w:r w:rsidRPr="004C6931">
        <w:rPr>
          <w:rFonts w:ascii="Corbel" w:hAnsi="Corbel" w:cs="Times New Roman"/>
        </w:rPr>
        <w:t xml:space="preserve">2007. </w:t>
      </w:r>
      <w:r w:rsidR="000571FB" w:rsidRPr="004C6931">
        <w:rPr>
          <w:rFonts w:ascii="Corbel" w:hAnsi="Corbel" w:cs="Times New Roman"/>
          <w:b/>
        </w:rPr>
        <w:t xml:space="preserve">povećale svoje plaće </w:t>
      </w:r>
      <w:r w:rsidR="003B37B8" w:rsidRPr="004C6931">
        <w:rPr>
          <w:rFonts w:ascii="Corbel" w:hAnsi="Corbel" w:cs="Times New Roman"/>
          <w:b/>
        </w:rPr>
        <w:t>između 40% i</w:t>
      </w:r>
      <w:r w:rsidR="000571FB" w:rsidRPr="004C6931">
        <w:rPr>
          <w:rFonts w:ascii="Corbel" w:hAnsi="Corbel" w:cs="Times New Roman"/>
          <w:b/>
        </w:rPr>
        <w:t xml:space="preserve"> 50%</w:t>
      </w:r>
      <w:r w:rsidR="000571FB" w:rsidRPr="004C6931">
        <w:rPr>
          <w:rFonts w:ascii="Corbel" w:hAnsi="Corbel" w:cs="Times New Roman"/>
        </w:rPr>
        <w:t>. S druge strane,</w:t>
      </w:r>
      <w:r w:rsidR="00010E15" w:rsidRPr="004C6931">
        <w:rPr>
          <w:rFonts w:ascii="Corbel" w:hAnsi="Corbel" w:cs="Times New Roman"/>
        </w:rPr>
        <w:t xml:space="preserve"> u istom razdoblju je</w:t>
      </w:r>
      <w:r w:rsidR="000571FB" w:rsidRPr="004C6931">
        <w:rPr>
          <w:rFonts w:ascii="Corbel" w:hAnsi="Corbel" w:cs="Times New Roman"/>
        </w:rPr>
        <w:t xml:space="preserve"> rast plaća u javnom sektoru umjeren i stabilan, te plaće rastu po stopi od 5,7% godišnje, ili 34% u šestogodišnjem razdoblju do 2007</w:t>
      </w:r>
      <w:r w:rsidR="00EC2248" w:rsidRPr="004C6931">
        <w:rPr>
          <w:rFonts w:ascii="Corbel" w:hAnsi="Corbel" w:cs="Times New Roman"/>
        </w:rPr>
        <w:t>.</w:t>
      </w:r>
      <w:r w:rsidR="000571FB" w:rsidRPr="004C6931">
        <w:rPr>
          <w:rFonts w:ascii="Corbel" w:hAnsi="Corbel" w:cs="Times New Roman"/>
        </w:rPr>
        <w:t xml:space="preserve"> godine.</w:t>
      </w:r>
    </w:p>
    <w:p w:rsidR="003444B1" w:rsidRPr="004C6931" w:rsidRDefault="003B37B8" w:rsidP="004C6931">
      <w:pPr>
        <w:jc w:val="both"/>
        <w:rPr>
          <w:rFonts w:ascii="Corbel" w:hAnsi="Corbel" w:cs="Times New Roman"/>
        </w:rPr>
      </w:pPr>
      <w:r w:rsidRPr="004C6931">
        <w:rPr>
          <w:rFonts w:ascii="Corbel" w:hAnsi="Corbel" w:cs="Times New Roman"/>
        </w:rPr>
        <w:t>Važno je vidjeti</w:t>
      </w:r>
      <w:r w:rsidR="000571FB" w:rsidRPr="004C6931">
        <w:rPr>
          <w:rFonts w:ascii="Corbel" w:hAnsi="Corbel" w:cs="Times New Roman"/>
        </w:rPr>
        <w:t xml:space="preserve"> da su sektori koji su povećavali svoje plaće uglavnom </w:t>
      </w:r>
      <w:r w:rsidR="00BE5243" w:rsidRPr="004C6931">
        <w:rPr>
          <w:rFonts w:ascii="Corbel" w:hAnsi="Corbel" w:cs="Times New Roman"/>
        </w:rPr>
        <w:t xml:space="preserve">sektori „usluga“, uz iznimku djelatnosti </w:t>
      </w:r>
      <w:r w:rsidR="00BE5243" w:rsidRPr="004C6931">
        <w:rPr>
          <w:rFonts w:ascii="Corbel" w:hAnsi="Corbel" w:cs="Times New Roman"/>
          <w:b/>
        </w:rPr>
        <w:t>„Ribarstva“</w:t>
      </w:r>
      <w:r w:rsidR="00010E15" w:rsidRPr="004C6931">
        <w:rPr>
          <w:rFonts w:ascii="Corbel" w:hAnsi="Corbel" w:cs="Times New Roman"/>
          <w:b/>
        </w:rPr>
        <w:t xml:space="preserve"> koja</w:t>
      </w:r>
      <w:r w:rsidR="00BE5243" w:rsidRPr="004C6931">
        <w:rPr>
          <w:rFonts w:ascii="Corbel" w:hAnsi="Corbel" w:cs="Times New Roman"/>
          <w:b/>
        </w:rPr>
        <w:t xml:space="preserve"> je tradicionalno snažan sektor županije</w:t>
      </w:r>
      <w:r w:rsidR="00BE5243" w:rsidRPr="004C6931">
        <w:rPr>
          <w:rFonts w:ascii="Corbel" w:hAnsi="Corbel" w:cs="Times New Roman"/>
        </w:rPr>
        <w:t>, te djelatnost „</w:t>
      </w:r>
      <w:proofErr w:type="spellStart"/>
      <w:r w:rsidR="00BE5243" w:rsidRPr="004C6931">
        <w:rPr>
          <w:rFonts w:ascii="Corbel" w:hAnsi="Corbel" w:cs="Times New Roman"/>
        </w:rPr>
        <w:t>Poljoprivrede..</w:t>
      </w:r>
      <w:proofErr w:type="spellEnd"/>
      <w:r w:rsidR="00BE5243" w:rsidRPr="004C6931">
        <w:rPr>
          <w:rFonts w:ascii="Corbel" w:hAnsi="Corbel" w:cs="Times New Roman"/>
        </w:rPr>
        <w:t xml:space="preserve">.“ koja je porasla u plaćama 51% </w:t>
      </w:r>
      <w:r w:rsidR="00BE5243" w:rsidRPr="004C6931">
        <w:rPr>
          <w:rFonts w:ascii="Corbel" w:hAnsi="Corbel" w:cs="Times New Roman"/>
          <w:b/>
        </w:rPr>
        <w:t>ali se rastom samo približila razini prosjeka županijske plaće</w:t>
      </w:r>
      <w:r w:rsidR="00BE5243" w:rsidRPr="004C6931">
        <w:rPr>
          <w:rFonts w:ascii="Corbel" w:hAnsi="Corbel" w:cs="Times New Roman"/>
        </w:rPr>
        <w:t>.</w:t>
      </w:r>
    </w:p>
    <w:p w:rsidR="00C761F9" w:rsidRDefault="00C761F9" w:rsidP="00C761F9">
      <w:pPr>
        <w:pStyle w:val="Opisslike"/>
        <w:keepNext/>
      </w:pPr>
      <w:bookmarkStart w:id="26" w:name="_Toc351538477"/>
      <w:r>
        <w:t xml:space="preserve">Slika </w:t>
      </w:r>
      <w:fldSimple w:instr=" SEQ Slika \* ARABIC ">
        <w:r w:rsidR="001E7A09">
          <w:rPr>
            <w:noProof/>
          </w:rPr>
          <w:t>14</w:t>
        </w:r>
      </w:fldSimple>
      <w:r>
        <w:t>.: Postotni porast plaća u razdoblju od 2001.-2007. godine po djelatnostima Zadarske županije, NKD 2002*</w:t>
      </w:r>
      <w:bookmarkEnd w:id="26"/>
    </w:p>
    <w:p w:rsidR="006A7F95" w:rsidRDefault="007148CC" w:rsidP="00C761F9">
      <w:pPr>
        <w:spacing w:after="0"/>
        <w:rPr>
          <w:rFonts w:ascii="Times New Roman" w:hAnsi="Times New Roman" w:cs="Times New Roman"/>
          <w:sz w:val="24"/>
          <w:highlight w:val="yellow"/>
        </w:rPr>
      </w:pPr>
      <w:r>
        <w:rPr>
          <w:noProof/>
          <w:lang w:eastAsia="hr-HR"/>
        </w:rPr>
        <w:drawing>
          <wp:inline distT="0" distB="0" distL="0" distR="0" wp14:anchorId="621683E9" wp14:editId="21947302">
            <wp:extent cx="5419725" cy="3038475"/>
            <wp:effectExtent l="0" t="0" r="9525" b="9525"/>
            <wp:docPr id="17" name="Grafikon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761F9" w:rsidRPr="004F2FBF" w:rsidRDefault="00C761F9" w:rsidP="00C761F9">
      <w:pPr>
        <w:spacing w:after="0"/>
        <w:rPr>
          <w:rFonts w:ascii="Times New Roman" w:hAnsi="Times New Roman" w:cs="Times New Roman"/>
          <w:sz w:val="18"/>
        </w:rPr>
      </w:pPr>
      <w:r w:rsidRPr="004F2FBF">
        <w:rPr>
          <w:rFonts w:ascii="Times New Roman" w:hAnsi="Times New Roman" w:cs="Times New Roman"/>
          <w:sz w:val="18"/>
        </w:rPr>
        <w:t>Izvor: DZS, Statistička izvješća, zaposlenost i plaće, po godinama, obrada: ZADRA</w:t>
      </w:r>
    </w:p>
    <w:p w:rsidR="00C761F9" w:rsidRPr="004F2FBF" w:rsidRDefault="00C761F9" w:rsidP="00C761F9">
      <w:pPr>
        <w:rPr>
          <w:rFonts w:ascii="Times New Roman" w:hAnsi="Times New Roman" w:cs="Times New Roman"/>
          <w:sz w:val="18"/>
        </w:rPr>
      </w:pPr>
      <w:r w:rsidRPr="004F2FBF">
        <w:rPr>
          <w:rFonts w:ascii="Times New Roman" w:hAnsi="Times New Roman" w:cs="Times New Roman"/>
          <w:sz w:val="18"/>
        </w:rPr>
        <w:t>*Pogledati kazalo djelatnosti na kraju poglavlja</w:t>
      </w:r>
    </w:p>
    <w:p w:rsidR="005C056C" w:rsidRPr="004C6931" w:rsidRDefault="005C056C" w:rsidP="004C6931">
      <w:pPr>
        <w:jc w:val="both"/>
        <w:rPr>
          <w:rFonts w:ascii="Corbel" w:hAnsi="Corbel" w:cs="Times New Roman"/>
        </w:rPr>
      </w:pPr>
      <w:r w:rsidRPr="004C6931">
        <w:rPr>
          <w:rFonts w:ascii="Corbel" w:hAnsi="Corbel" w:cs="Times New Roman"/>
        </w:rPr>
        <w:t>Nadalje, prema podacima DZS-a iz 2010. godine (slika niže) n</w:t>
      </w:r>
      <w:r w:rsidR="002804ED" w:rsidRPr="004C6931">
        <w:rPr>
          <w:rFonts w:ascii="Corbel" w:hAnsi="Corbel" w:cs="Times New Roman"/>
        </w:rPr>
        <w:t>ajlošije su plaćeni nekvalificirani radnici</w:t>
      </w:r>
      <w:r w:rsidRPr="004C6931">
        <w:rPr>
          <w:rFonts w:ascii="Corbel" w:hAnsi="Corbel" w:cs="Times New Roman"/>
        </w:rPr>
        <w:t xml:space="preserve"> i radnici niže stručne spreme</w:t>
      </w:r>
      <w:r w:rsidR="002804ED" w:rsidRPr="004C6931">
        <w:rPr>
          <w:rFonts w:ascii="Corbel" w:hAnsi="Corbel" w:cs="Times New Roman"/>
        </w:rPr>
        <w:t xml:space="preserve">, koji za svoj rad dobiju čak </w:t>
      </w:r>
      <w:r w:rsidRPr="004C6931">
        <w:rPr>
          <w:rFonts w:ascii="Corbel" w:hAnsi="Corbel" w:cs="Times New Roman"/>
        </w:rPr>
        <w:t>35</w:t>
      </w:r>
      <w:r w:rsidR="002804ED" w:rsidRPr="004C6931">
        <w:rPr>
          <w:rFonts w:ascii="Corbel" w:hAnsi="Corbel" w:cs="Times New Roman"/>
        </w:rPr>
        <w:t xml:space="preserve"> </w:t>
      </w:r>
      <w:r w:rsidRPr="004C6931">
        <w:rPr>
          <w:rFonts w:ascii="Corbel" w:hAnsi="Corbel" w:cs="Times New Roman"/>
        </w:rPr>
        <w:t>%</w:t>
      </w:r>
      <w:r w:rsidR="002804ED" w:rsidRPr="004C6931">
        <w:rPr>
          <w:rFonts w:ascii="Corbel" w:hAnsi="Corbel" w:cs="Times New Roman"/>
        </w:rPr>
        <w:t xml:space="preserve"> nižu plaću od prosječne, a slijede</w:t>
      </w:r>
      <w:r w:rsidRPr="004C6931">
        <w:rPr>
          <w:rFonts w:ascii="Corbel" w:hAnsi="Corbel" w:cs="Times New Roman"/>
        </w:rPr>
        <w:t xml:space="preserve"> PKV, KV, srednja, te VKV, viša i visoka</w:t>
      </w:r>
      <w:r w:rsidR="002804ED" w:rsidRPr="004C6931">
        <w:rPr>
          <w:rFonts w:ascii="Corbel" w:hAnsi="Corbel" w:cs="Times New Roman"/>
        </w:rPr>
        <w:t>.</w:t>
      </w:r>
      <w:r w:rsidR="000F1136" w:rsidRPr="004C6931">
        <w:rPr>
          <w:rFonts w:ascii="Corbel" w:hAnsi="Corbel" w:cs="Times New Roman"/>
        </w:rPr>
        <w:t xml:space="preserve"> </w:t>
      </w:r>
      <w:r w:rsidRPr="004C6931">
        <w:rPr>
          <w:rFonts w:ascii="Corbel" w:hAnsi="Corbel" w:cs="Times New Roman"/>
        </w:rPr>
        <w:t xml:space="preserve">Podaci pokazuju </w:t>
      </w:r>
      <w:r w:rsidRPr="004C6931">
        <w:rPr>
          <w:rFonts w:ascii="Corbel" w:hAnsi="Corbel" w:cs="Times New Roman"/>
          <w:b/>
        </w:rPr>
        <w:t>kako stupanj obrazovanja, značajno utječe na visinu plaće:</w:t>
      </w:r>
      <w:r w:rsidRPr="004C6931">
        <w:rPr>
          <w:rFonts w:ascii="Corbel" w:hAnsi="Corbel" w:cs="Times New Roman"/>
        </w:rPr>
        <w:t xml:space="preserve"> osobe sa završenim fakultetom imaju 45% višu plaću u odnosu na</w:t>
      </w:r>
      <w:r w:rsidR="002804ED" w:rsidRPr="004C6931">
        <w:rPr>
          <w:rFonts w:ascii="Corbel" w:hAnsi="Corbel" w:cs="Times New Roman"/>
        </w:rPr>
        <w:t> </w:t>
      </w:r>
      <w:r w:rsidRPr="004C6931">
        <w:rPr>
          <w:rFonts w:ascii="Corbel" w:hAnsi="Corbel" w:cs="Times New Roman"/>
        </w:rPr>
        <w:t>prosječnu plaću.</w:t>
      </w:r>
    </w:p>
    <w:p w:rsidR="00256B0C" w:rsidRDefault="00256B0C" w:rsidP="00256B0C">
      <w:pPr>
        <w:pStyle w:val="Opisslike"/>
        <w:keepNext/>
      </w:pPr>
      <w:bookmarkStart w:id="27" w:name="_Toc351538478"/>
      <w:r>
        <w:lastRenderedPageBreak/>
        <w:t xml:space="preserve">Slika </w:t>
      </w:r>
      <w:fldSimple w:instr=" SEQ Slika \* ARABIC ">
        <w:r w:rsidR="001E7A09">
          <w:rPr>
            <w:noProof/>
          </w:rPr>
          <w:t>15</w:t>
        </w:r>
      </w:fldSimple>
      <w:r>
        <w:t>.: Prosječna neto plaća prema stupnju stručne spreme za Zadarsku županiju</w:t>
      </w:r>
      <w:r w:rsidR="00077EA5">
        <w:t xml:space="preserve"> u 2010. godini</w:t>
      </w:r>
      <w:bookmarkEnd w:id="27"/>
    </w:p>
    <w:p w:rsidR="005C056C" w:rsidRDefault="005C056C" w:rsidP="005B0D65">
      <w:pPr>
        <w:spacing w:after="0"/>
        <w:rPr>
          <w:rFonts w:ascii="Times New Roman" w:hAnsi="Times New Roman" w:cs="Times New Roman"/>
          <w:sz w:val="24"/>
          <w:highlight w:val="yellow"/>
        </w:rPr>
      </w:pPr>
      <w:r>
        <w:rPr>
          <w:noProof/>
          <w:lang w:eastAsia="hr-HR"/>
        </w:rPr>
        <w:drawing>
          <wp:inline distT="0" distB="0" distL="0" distR="0" wp14:anchorId="238CDF40" wp14:editId="10417ECB">
            <wp:extent cx="5153025" cy="3486150"/>
            <wp:effectExtent l="0" t="0" r="9525" b="19050"/>
            <wp:docPr id="18" name="Grafikon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B0D65" w:rsidRPr="004F2FBF" w:rsidRDefault="005B0D65" w:rsidP="005B0D65">
      <w:pPr>
        <w:spacing w:after="0"/>
        <w:rPr>
          <w:rFonts w:ascii="Times New Roman" w:hAnsi="Times New Roman" w:cs="Times New Roman"/>
          <w:sz w:val="18"/>
        </w:rPr>
      </w:pPr>
      <w:r w:rsidRPr="004F2FBF">
        <w:rPr>
          <w:rFonts w:ascii="Times New Roman" w:hAnsi="Times New Roman" w:cs="Times New Roman"/>
          <w:sz w:val="18"/>
        </w:rPr>
        <w:t>Izvor: DZS, Statistička izvješća, zaposlenost i plaće, po godinama, obrada: ZADRA</w:t>
      </w:r>
    </w:p>
    <w:p w:rsidR="005C056C" w:rsidRDefault="005C056C" w:rsidP="00F367B4">
      <w:pPr>
        <w:rPr>
          <w:rFonts w:ascii="Times New Roman" w:hAnsi="Times New Roman" w:cs="Times New Roman"/>
          <w:sz w:val="24"/>
          <w:highlight w:val="yellow"/>
        </w:rPr>
      </w:pPr>
    </w:p>
    <w:p w:rsidR="002D61FC" w:rsidRPr="004F2FBF" w:rsidRDefault="002D61FC">
      <w:pPr>
        <w:rPr>
          <w:rFonts w:ascii="Corbel" w:hAnsi="Corbel"/>
          <w:sz w:val="28"/>
        </w:rPr>
      </w:pPr>
      <w:r w:rsidRPr="004F2FBF">
        <w:rPr>
          <w:rFonts w:ascii="Corbel" w:hAnsi="Corbel"/>
          <w:sz w:val="28"/>
        </w:rPr>
        <w:t>ZAKLJUČNO O TRŽIŠTU RADA</w:t>
      </w:r>
      <w:r w:rsidR="004328E8" w:rsidRPr="004F2FBF">
        <w:rPr>
          <w:rFonts w:ascii="Corbel" w:hAnsi="Corbel"/>
          <w:sz w:val="28"/>
        </w:rPr>
        <w:t xml:space="preserve"> </w:t>
      </w:r>
    </w:p>
    <w:p w:rsidR="00E50208" w:rsidRPr="004F2FBF" w:rsidRDefault="006A33E8" w:rsidP="009F4C9F">
      <w:pPr>
        <w:jc w:val="both"/>
        <w:rPr>
          <w:rFonts w:ascii="Corbel" w:hAnsi="Corbel" w:cs="Times New Roman"/>
        </w:rPr>
      </w:pPr>
      <w:r w:rsidRPr="004F2FBF">
        <w:rPr>
          <w:rFonts w:ascii="Corbel" w:hAnsi="Corbel" w:cs="Times New Roman"/>
        </w:rPr>
        <w:t xml:space="preserve">Temeljni </w:t>
      </w:r>
      <w:r w:rsidR="00E50208" w:rsidRPr="004F2FBF">
        <w:rPr>
          <w:rFonts w:ascii="Corbel" w:hAnsi="Corbel" w:cs="Times New Roman"/>
        </w:rPr>
        <w:t>problemi</w:t>
      </w:r>
      <w:r w:rsidRPr="004F2FBF">
        <w:rPr>
          <w:rFonts w:ascii="Corbel" w:hAnsi="Corbel" w:cs="Times New Roman"/>
        </w:rPr>
        <w:t xml:space="preserve"> hrvatskog tržišta rada</w:t>
      </w:r>
      <w:r w:rsidR="00E50208" w:rsidRPr="004F2FBF">
        <w:rPr>
          <w:rFonts w:ascii="Corbel" w:hAnsi="Corbel" w:cs="Times New Roman"/>
        </w:rPr>
        <w:t xml:space="preserve"> koji utječu na ravnotežu pa tako i na razinu zaposlenosti</w:t>
      </w:r>
      <w:r w:rsidRPr="004F2FBF">
        <w:rPr>
          <w:rFonts w:ascii="Corbel" w:hAnsi="Corbel" w:cs="Times New Roman"/>
        </w:rPr>
        <w:t>, još uvijek su rezultat povijesnih</w:t>
      </w:r>
      <w:r w:rsidR="00E50208" w:rsidRPr="004F2FBF">
        <w:rPr>
          <w:rFonts w:ascii="Corbel" w:hAnsi="Corbel" w:cs="Times New Roman"/>
        </w:rPr>
        <w:t xml:space="preserve"> zbivanja na ovim područjima. Prije svega to su dugoročni demografski trendovi, a osobito zbivanja tijekom zadnjeg desetljeća 20-</w:t>
      </w:r>
      <w:proofErr w:type="spellStart"/>
      <w:r w:rsidR="00E50208" w:rsidRPr="004F2FBF">
        <w:rPr>
          <w:rFonts w:ascii="Corbel" w:hAnsi="Corbel" w:cs="Times New Roman"/>
        </w:rPr>
        <w:t>og</w:t>
      </w:r>
      <w:proofErr w:type="spellEnd"/>
      <w:r w:rsidR="00E50208" w:rsidRPr="004F2FBF">
        <w:rPr>
          <w:rFonts w:ascii="Corbel" w:hAnsi="Corbel" w:cs="Times New Roman"/>
        </w:rPr>
        <w:t xml:space="preserve"> stoljeća koji ozbiljno reduciraju ponudu radne snage. Drugi uzrok su (još uvijek) razvojno-gospodarski procesi koji su u 1990-im godinama drastično reducirali potražnju za radnom snagom. I jedan i drugi uzrok kontinuirano proizvode neravnotežu na tržištu rada  pri čemu gospodarska zbivanja dominiraju među faktorima neravnoteže što se evidentira rastom nezaposlenosti </w:t>
      </w:r>
      <w:sdt>
        <w:sdtPr>
          <w:rPr>
            <w:rFonts w:ascii="Corbel" w:hAnsi="Corbel" w:cs="Times New Roman"/>
          </w:rPr>
          <w:id w:val="-1204327711"/>
          <w:citation/>
        </w:sdtPr>
        <w:sdtContent>
          <w:r w:rsidR="00E50208" w:rsidRPr="004F2FBF">
            <w:rPr>
              <w:rFonts w:ascii="Corbel" w:hAnsi="Corbel" w:cs="Times New Roman"/>
            </w:rPr>
            <w:fldChar w:fldCharType="begin"/>
          </w:r>
          <w:r w:rsidR="00E50208" w:rsidRPr="004F2FBF">
            <w:rPr>
              <w:rFonts w:ascii="Corbel" w:hAnsi="Corbel" w:cs="Times New Roman"/>
            </w:rPr>
            <w:instrText xml:space="preserve"> CITATION Dru99 \l 1050 </w:instrText>
          </w:r>
          <w:r w:rsidR="00E50208" w:rsidRPr="004F2FBF">
            <w:rPr>
              <w:rFonts w:ascii="Corbel" w:hAnsi="Corbel" w:cs="Times New Roman"/>
            </w:rPr>
            <w:fldChar w:fldCharType="separate"/>
          </w:r>
          <w:r w:rsidR="00E50208" w:rsidRPr="004F2FBF">
            <w:rPr>
              <w:rFonts w:ascii="Corbel" w:hAnsi="Corbel" w:cs="Times New Roman"/>
              <w:noProof/>
            </w:rPr>
            <w:t>(Družić, 1999)</w:t>
          </w:r>
          <w:r w:rsidR="00E50208" w:rsidRPr="004F2FBF">
            <w:rPr>
              <w:rFonts w:ascii="Corbel" w:hAnsi="Corbel" w:cs="Times New Roman"/>
            </w:rPr>
            <w:fldChar w:fldCharType="end"/>
          </w:r>
        </w:sdtContent>
      </w:sdt>
      <w:r w:rsidR="00E50208" w:rsidRPr="004F2FBF">
        <w:rPr>
          <w:rFonts w:ascii="Corbel" w:hAnsi="Corbel" w:cs="Times New Roman"/>
        </w:rPr>
        <w:t>.</w:t>
      </w:r>
    </w:p>
    <w:p w:rsidR="007E332E" w:rsidRPr="004F2FBF" w:rsidRDefault="007E332E" w:rsidP="009F4C9F">
      <w:pPr>
        <w:autoSpaceDE w:val="0"/>
        <w:autoSpaceDN w:val="0"/>
        <w:adjustRightInd w:val="0"/>
        <w:spacing w:line="240" w:lineRule="auto"/>
        <w:jc w:val="both"/>
        <w:rPr>
          <w:rFonts w:ascii="Corbel" w:hAnsi="Corbel" w:cs="Times New Roman"/>
        </w:rPr>
      </w:pPr>
      <w:r w:rsidRPr="004F2FBF">
        <w:rPr>
          <w:rFonts w:ascii="Corbel" w:hAnsi="Corbel" w:cs="Times New Roman"/>
        </w:rPr>
        <w:t xml:space="preserve">Pad zaposlenosti i rast nezaposlenosti znači da se </w:t>
      </w:r>
      <w:r w:rsidR="00240431" w:rsidRPr="004F2FBF">
        <w:rPr>
          <w:rFonts w:ascii="Corbel" w:hAnsi="Corbel" w:cs="Times New Roman"/>
        </w:rPr>
        <w:t xml:space="preserve">u Hrvatskoj manje radnih mjesta otvara nego što ih </w:t>
      </w:r>
      <w:r w:rsidRPr="004F2FBF">
        <w:rPr>
          <w:rFonts w:ascii="Corbel" w:hAnsi="Corbel" w:cs="Times New Roman"/>
        </w:rPr>
        <w:t xml:space="preserve">se zatvara. Izvor problema zaposlenosti u Hrvatskoj nije </w:t>
      </w:r>
      <w:r w:rsidR="00240431" w:rsidRPr="004F2FBF">
        <w:rPr>
          <w:rFonts w:ascii="Corbel" w:hAnsi="Corbel" w:cs="Times New Roman"/>
        </w:rPr>
        <w:t xml:space="preserve">zatvaranje </w:t>
      </w:r>
      <w:r w:rsidRPr="004F2FBF">
        <w:rPr>
          <w:rFonts w:ascii="Corbel" w:hAnsi="Corbel" w:cs="Times New Roman"/>
        </w:rPr>
        <w:t>velikog broja radnih mjesta, već mali broj novih radnih mjesta. Otvaranjem novih poduzeća nastaje otprilike jedna trećina novih radnih mjesta u gospodarstvu, što je pojava koja se redovito primjećuje u određenom broju tranzicijskih gospodarstava, kao što s</w:t>
      </w:r>
      <w:r w:rsidR="00240431" w:rsidRPr="004F2FBF">
        <w:rPr>
          <w:rFonts w:ascii="Corbel" w:hAnsi="Corbel" w:cs="Times New Roman"/>
        </w:rPr>
        <w:t>u bugarsko, litvansko i poljsko</w:t>
      </w:r>
      <w:r w:rsidRPr="004F2FBF">
        <w:rPr>
          <w:rFonts w:ascii="Corbel" w:hAnsi="Corbel" w:cs="Times New Roman"/>
        </w:rPr>
        <w:t>.</w:t>
      </w:r>
      <w:r w:rsidR="00240431" w:rsidRPr="004F2FBF">
        <w:rPr>
          <w:rFonts w:ascii="Corbel" w:hAnsi="Corbel" w:cs="Times New Roman"/>
        </w:rPr>
        <w:t xml:space="preserve"> Današnja s</w:t>
      </w:r>
      <w:r w:rsidRPr="004F2FBF">
        <w:rPr>
          <w:rFonts w:ascii="Corbel" w:hAnsi="Corbel" w:cs="Times New Roman"/>
        </w:rPr>
        <w:t>topa rasta novih poduzeća nije dostatna da ublaži smanjen</w:t>
      </w:r>
      <w:r w:rsidR="00240431" w:rsidRPr="004F2FBF">
        <w:rPr>
          <w:rFonts w:ascii="Corbel" w:hAnsi="Corbel" w:cs="Times New Roman"/>
        </w:rPr>
        <w:t>je zaposlenosti koje se događa</w:t>
      </w:r>
      <w:r w:rsidRPr="004F2FBF">
        <w:rPr>
          <w:rFonts w:ascii="Corbel" w:hAnsi="Corbel" w:cs="Times New Roman"/>
        </w:rPr>
        <w:t xml:space="preserve"> u postojećim tvrtkama. U drugim tranzicijskim gospodarstvima proces osnivanja novih tvrtki bio je mnogo dinamičniji nego u Hrvatskoj. Na primjer, u Poljskoj se u 90-ima broj tvrtki povećavao prema  prosječnoj godišnjoj stopi rasta od gotovo 13%, dakle znatno viši nego u Hrvatskoj. </w:t>
      </w:r>
      <w:sdt>
        <w:sdtPr>
          <w:rPr>
            <w:rFonts w:ascii="Corbel" w:hAnsi="Corbel" w:cs="Times New Roman"/>
          </w:rPr>
          <w:id w:val="1618717239"/>
          <w:citation/>
        </w:sdtPr>
        <w:sdtContent>
          <w:r w:rsidRPr="004F2FBF">
            <w:rPr>
              <w:rFonts w:ascii="Corbel" w:hAnsi="Corbel" w:cs="Times New Roman"/>
            </w:rPr>
            <w:fldChar w:fldCharType="begin"/>
          </w:r>
          <w:r w:rsidRPr="004F2FBF">
            <w:rPr>
              <w:rFonts w:ascii="Corbel" w:hAnsi="Corbel" w:cs="Times New Roman"/>
            </w:rPr>
            <w:instrText xml:space="preserve"> CITATION Rut03 \l 1050 </w:instrText>
          </w:r>
          <w:r w:rsidRPr="004F2FBF">
            <w:rPr>
              <w:rFonts w:ascii="Corbel" w:hAnsi="Corbel" w:cs="Times New Roman"/>
            </w:rPr>
            <w:fldChar w:fldCharType="separate"/>
          </w:r>
          <w:r w:rsidRPr="004F2FBF">
            <w:rPr>
              <w:rFonts w:ascii="Corbel" w:hAnsi="Corbel" w:cs="Times New Roman"/>
            </w:rPr>
            <w:t>(Rutkowski, 2003)</w:t>
          </w:r>
          <w:r w:rsidRPr="004F2FBF">
            <w:rPr>
              <w:rFonts w:ascii="Corbel" w:hAnsi="Corbel" w:cs="Times New Roman"/>
            </w:rPr>
            <w:fldChar w:fldCharType="end"/>
          </w:r>
        </w:sdtContent>
      </w:sdt>
      <w:r w:rsidRPr="004F2FBF">
        <w:rPr>
          <w:rFonts w:ascii="Corbel" w:hAnsi="Corbel" w:cs="Times New Roman"/>
        </w:rPr>
        <w:t>.</w:t>
      </w:r>
    </w:p>
    <w:p w:rsidR="00343FEC" w:rsidRPr="004F2FBF" w:rsidRDefault="00121229" w:rsidP="009F4C9F">
      <w:pPr>
        <w:jc w:val="both"/>
        <w:rPr>
          <w:rFonts w:ascii="Corbel" w:hAnsi="Corbel" w:cs="Times New Roman"/>
        </w:rPr>
      </w:pPr>
      <w:r w:rsidRPr="004F2FBF">
        <w:rPr>
          <w:rFonts w:ascii="Corbel" w:hAnsi="Corbel" w:cs="Times New Roman"/>
        </w:rPr>
        <w:t>Premda smo danas skoro 20 godina od ratnih zbivanja koja su se zbivala na području RH, posljedice se u gospodarstvu i na radnoj snazi još uvijek osjete. Pozitivni  trendovi od 2001.-2008. vrlo brzo su zaustavljeni ekonomskom</w:t>
      </w:r>
      <w:r w:rsidR="00240431" w:rsidRPr="004F2FBF">
        <w:rPr>
          <w:rFonts w:ascii="Corbel" w:hAnsi="Corbel" w:cs="Times New Roman"/>
        </w:rPr>
        <w:t xml:space="preserve"> </w:t>
      </w:r>
      <w:r w:rsidRPr="004F2FBF">
        <w:rPr>
          <w:rFonts w:ascii="Corbel" w:hAnsi="Corbel" w:cs="Times New Roman"/>
        </w:rPr>
        <w:t xml:space="preserve"> krizom u 2008. godini, iako je gospodarstvo i u tim prosperitetnim godinama bilo suočeno sa značajnim strukturnim problemima. Negativni demografski trendovi se ne mogu promijeniti kratkoročnim politikama, a upravo je demografski kapital u visokoj zavisnosti </w:t>
      </w:r>
      <w:r w:rsidRPr="004F2FBF">
        <w:rPr>
          <w:rFonts w:ascii="Corbel" w:hAnsi="Corbel" w:cs="Times New Roman"/>
        </w:rPr>
        <w:lastRenderedPageBreak/>
        <w:t xml:space="preserve">sa tržištem rada. Kako bi vratili izgubljene godine potrebno je nastaviti rasti po još </w:t>
      </w:r>
      <w:r w:rsidR="00183D1F" w:rsidRPr="004F2FBF">
        <w:rPr>
          <w:rFonts w:ascii="Corbel" w:hAnsi="Corbel" w:cs="Times New Roman"/>
        </w:rPr>
        <w:t>višim</w:t>
      </w:r>
      <w:r w:rsidRPr="004F2FBF">
        <w:rPr>
          <w:rFonts w:ascii="Corbel" w:hAnsi="Corbel" w:cs="Times New Roman"/>
        </w:rPr>
        <w:t xml:space="preserve"> stopama nego što je to bilo u prosperitetnim godinama, a za to je potrebna strategija koja će napraviti od</w:t>
      </w:r>
      <w:r w:rsidR="00C02C35" w:rsidRPr="004F2FBF">
        <w:rPr>
          <w:rFonts w:ascii="Corbel" w:hAnsi="Corbel" w:cs="Times New Roman"/>
        </w:rPr>
        <w:t>m</w:t>
      </w:r>
      <w:r w:rsidRPr="004F2FBF">
        <w:rPr>
          <w:rFonts w:ascii="Corbel" w:hAnsi="Corbel" w:cs="Times New Roman"/>
        </w:rPr>
        <w:t>ak</w:t>
      </w:r>
      <w:r w:rsidR="00C02C35" w:rsidRPr="004F2FBF">
        <w:rPr>
          <w:rFonts w:ascii="Corbel" w:hAnsi="Corbel" w:cs="Times New Roman"/>
        </w:rPr>
        <w:t xml:space="preserve"> od „prepuštanja razvoju“ ka „</w:t>
      </w:r>
      <w:r w:rsidR="004328E8" w:rsidRPr="004F2FBF">
        <w:rPr>
          <w:rFonts w:ascii="Corbel" w:hAnsi="Corbel" w:cs="Times New Roman"/>
        </w:rPr>
        <w:t>usmjeravanju</w:t>
      </w:r>
      <w:r w:rsidR="00C02C35" w:rsidRPr="004F2FBF">
        <w:rPr>
          <w:rFonts w:ascii="Corbel" w:hAnsi="Corbel" w:cs="Times New Roman"/>
        </w:rPr>
        <w:t xml:space="preserve"> razvoja“</w:t>
      </w:r>
      <w:r w:rsidR="007E332E" w:rsidRPr="004F2FBF">
        <w:rPr>
          <w:rFonts w:ascii="Corbel" w:hAnsi="Corbel" w:cs="Times New Roman"/>
        </w:rPr>
        <w:t>, a što za rezultat treba imati uravnoteženo tržište rada</w:t>
      </w:r>
      <w:r w:rsidR="00183D1F" w:rsidRPr="004F2FBF">
        <w:rPr>
          <w:rFonts w:ascii="Corbel" w:hAnsi="Corbel" w:cs="Times New Roman"/>
        </w:rPr>
        <w:t>, nova zapošljavanja i smanjenje</w:t>
      </w:r>
      <w:r w:rsidR="007E332E" w:rsidRPr="004F2FBF">
        <w:rPr>
          <w:rFonts w:ascii="Corbel" w:hAnsi="Corbel" w:cs="Times New Roman"/>
        </w:rPr>
        <w:t xml:space="preserve"> nezaposlenosti</w:t>
      </w:r>
      <w:r w:rsidR="00C02C35" w:rsidRPr="004F2FBF">
        <w:rPr>
          <w:rFonts w:ascii="Corbel" w:hAnsi="Corbel" w:cs="Times New Roman"/>
        </w:rPr>
        <w:t xml:space="preserve"> . U</w:t>
      </w:r>
      <w:r w:rsidRPr="004F2FBF">
        <w:rPr>
          <w:rFonts w:ascii="Corbel" w:hAnsi="Corbel" w:cs="Times New Roman"/>
        </w:rPr>
        <w:t xml:space="preserve"> tome će vodeću ulogu imati gradovi u RH, </w:t>
      </w:r>
      <w:r w:rsidR="007E332E" w:rsidRPr="004F2FBF">
        <w:rPr>
          <w:rFonts w:ascii="Corbel" w:hAnsi="Corbel" w:cs="Times New Roman"/>
        </w:rPr>
        <w:t>koji su prepoznati kao</w:t>
      </w:r>
      <w:r w:rsidRPr="004F2FBF">
        <w:rPr>
          <w:rFonts w:ascii="Corbel" w:hAnsi="Corbel" w:cs="Times New Roman"/>
        </w:rPr>
        <w:t xml:space="preserve"> motori rasta </w:t>
      </w:r>
      <w:r w:rsidR="00C02C35" w:rsidRPr="004F2FBF">
        <w:rPr>
          <w:rFonts w:ascii="Corbel" w:hAnsi="Corbel" w:cs="Times New Roman"/>
        </w:rPr>
        <w:t>nacionalnog gospodarstva</w:t>
      </w:r>
      <w:r w:rsidRPr="004F2FBF">
        <w:rPr>
          <w:rFonts w:ascii="Corbel" w:hAnsi="Corbel" w:cs="Times New Roman"/>
        </w:rPr>
        <w:t xml:space="preserve">. </w:t>
      </w:r>
    </w:p>
    <w:p w:rsidR="00003FD8" w:rsidRPr="004F2FBF" w:rsidRDefault="00183D1F" w:rsidP="009F4C9F">
      <w:pPr>
        <w:jc w:val="both"/>
        <w:rPr>
          <w:rFonts w:ascii="Corbel" w:hAnsi="Corbel" w:cs="Times New Roman"/>
        </w:rPr>
      </w:pPr>
      <w:r w:rsidRPr="004F2FBF">
        <w:rPr>
          <w:rFonts w:ascii="Corbel" w:hAnsi="Corbel" w:cs="Times New Roman"/>
        </w:rPr>
        <w:t xml:space="preserve">U skoroj budućnosti </w:t>
      </w:r>
      <w:r w:rsidR="007E332E" w:rsidRPr="004F2FBF">
        <w:rPr>
          <w:rFonts w:ascii="Corbel" w:hAnsi="Corbel" w:cs="Times New Roman"/>
        </w:rPr>
        <w:t>očekuje</w:t>
      </w:r>
      <w:r w:rsidR="00121229" w:rsidRPr="004F2FBF">
        <w:rPr>
          <w:rFonts w:ascii="Corbel" w:hAnsi="Corbel" w:cs="Times New Roman"/>
        </w:rPr>
        <w:t xml:space="preserve"> se daljnja specijalizacija regija i njihovih urbanih središta kombinirana sa politikom</w:t>
      </w:r>
      <w:r w:rsidR="00C02C35" w:rsidRPr="004F2FBF">
        <w:rPr>
          <w:rFonts w:ascii="Corbel" w:hAnsi="Corbel" w:cs="Times New Roman"/>
        </w:rPr>
        <w:t xml:space="preserve"> održivog razvoja i politikom koja će moći</w:t>
      </w:r>
      <w:r w:rsidR="00240431" w:rsidRPr="004F2FBF">
        <w:rPr>
          <w:rFonts w:ascii="Corbel" w:hAnsi="Corbel" w:cs="Times New Roman"/>
        </w:rPr>
        <w:t xml:space="preserve"> iskoristiti</w:t>
      </w:r>
      <w:r w:rsidR="00C02C35" w:rsidRPr="004F2FBF">
        <w:rPr>
          <w:rFonts w:ascii="Corbel" w:hAnsi="Corbel" w:cs="Times New Roman"/>
        </w:rPr>
        <w:t xml:space="preserve"> integracije </w:t>
      </w:r>
      <w:r w:rsidR="00621AB0" w:rsidRPr="004F2FBF">
        <w:rPr>
          <w:rFonts w:ascii="Corbel" w:hAnsi="Corbel" w:cs="Times New Roman"/>
        </w:rPr>
        <w:t xml:space="preserve">Hrvatske </w:t>
      </w:r>
      <w:r w:rsidR="00C02C35" w:rsidRPr="004F2FBF">
        <w:rPr>
          <w:rFonts w:ascii="Corbel" w:hAnsi="Corbel" w:cs="Times New Roman"/>
        </w:rPr>
        <w:t>u EU</w:t>
      </w:r>
      <w:r w:rsidR="00240431" w:rsidRPr="004F2FBF">
        <w:rPr>
          <w:rFonts w:ascii="Corbel" w:hAnsi="Corbel" w:cs="Times New Roman"/>
        </w:rPr>
        <w:t xml:space="preserve"> u svoju korist. To sve</w:t>
      </w:r>
      <w:r w:rsidR="007E332E" w:rsidRPr="004F2FBF">
        <w:rPr>
          <w:rFonts w:ascii="Corbel" w:hAnsi="Corbel" w:cs="Times New Roman"/>
        </w:rPr>
        <w:t xml:space="preserve"> predstavlja nove</w:t>
      </w:r>
      <w:r w:rsidR="00240431" w:rsidRPr="004F2FBF">
        <w:rPr>
          <w:rFonts w:ascii="Corbel" w:hAnsi="Corbel" w:cs="Times New Roman"/>
        </w:rPr>
        <w:t xml:space="preserve"> dugoročne</w:t>
      </w:r>
      <w:r w:rsidR="007E332E" w:rsidRPr="004F2FBF">
        <w:rPr>
          <w:rFonts w:ascii="Corbel" w:hAnsi="Corbel" w:cs="Times New Roman"/>
        </w:rPr>
        <w:t xml:space="preserve"> izazove za gradove, </w:t>
      </w:r>
      <w:r w:rsidR="00240431" w:rsidRPr="004F2FBF">
        <w:rPr>
          <w:rFonts w:ascii="Corbel" w:hAnsi="Corbel" w:cs="Times New Roman"/>
        </w:rPr>
        <w:t>a posebno one manje poput Zadra, koji su primorani prilagođavati se svjetskim trendovima i utjecajima globalizacije.</w:t>
      </w:r>
    </w:p>
    <w:p w:rsidR="0077624F" w:rsidRPr="00DD153E" w:rsidRDefault="0077624F" w:rsidP="0077624F">
      <w:pPr>
        <w:rPr>
          <w:rFonts w:ascii="Corbel" w:hAnsi="Corbel" w:cstheme="minorHAnsi"/>
          <w:b/>
          <w:i/>
          <w:color w:val="7F7F7F" w:themeColor="text1" w:themeTint="80"/>
        </w:rPr>
      </w:pPr>
      <w:r w:rsidRPr="00DD153E">
        <w:rPr>
          <w:rFonts w:ascii="Corbel" w:hAnsi="Corbel" w:cstheme="minorHAnsi"/>
          <w:b/>
          <w:i/>
          <w:color w:val="7F7F7F" w:themeColor="text1" w:themeTint="80"/>
        </w:rPr>
        <w:t>PREGLED KARAKTERISTIKA TRŽIŠTA RADA</w:t>
      </w:r>
    </w:p>
    <w:p w:rsidR="0077624F" w:rsidRPr="00DD153E" w:rsidRDefault="0077624F" w:rsidP="0077624F">
      <w:pPr>
        <w:pBdr>
          <w:left w:val="single" w:sz="4" w:space="4" w:color="4F81BD" w:themeColor="accent1"/>
        </w:pBdr>
        <w:spacing w:afterLines="60" w:after="144" w:line="240" w:lineRule="auto"/>
        <w:ind w:left="360"/>
        <w:rPr>
          <w:rFonts w:ascii="Corbel" w:hAnsi="Corbel" w:cstheme="minorHAnsi"/>
          <w:b/>
          <w:color w:val="7F7F7F" w:themeColor="text1" w:themeTint="80"/>
          <w:sz w:val="20"/>
        </w:rPr>
      </w:pPr>
      <w:r w:rsidRPr="00DD153E">
        <w:rPr>
          <w:rFonts w:ascii="Corbel" w:hAnsi="Corbel" w:cstheme="minorHAnsi"/>
          <w:b/>
          <w:color w:val="7F7F7F" w:themeColor="text1" w:themeTint="80"/>
          <w:sz w:val="20"/>
        </w:rPr>
        <w:t>ZAPOSLENOST</w:t>
      </w:r>
    </w:p>
    <w:p w:rsidR="0077624F" w:rsidRPr="00DD153E" w:rsidRDefault="0077624F" w:rsidP="0077624F">
      <w:pPr>
        <w:pStyle w:val="Odlomakpopisa"/>
        <w:numPr>
          <w:ilvl w:val="0"/>
          <w:numId w:val="7"/>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U razdoblju od 2001. do 2008. godine grad Zadar ima najveći postotni porast zaposlenosti (29%) u odnosu na ostale gradove Jadranske Hrvatske. </w:t>
      </w:r>
    </w:p>
    <w:p w:rsidR="0077624F" w:rsidRPr="00DD153E" w:rsidRDefault="009074A1" w:rsidP="0077624F">
      <w:pPr>
        <w:pStyle w:val="Odlomakpopisa"/>
        <w:numPr>
          <w:ilvl w:val="0"/>
          <w:numId w:val="7"/>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Pr>
          <w:rFonts w:ascii="Corbel" w:hAnsi="Corbel" w:cstheme="minorHAnsi"/>
          <w:color w:val="7F7F7F" w:themeColor="text1" w:themeTint="80"/>
          <w:sz w:val="20"/>
        </w:rPr>
        <w:t>K</w:t>
      </w:r>
      <w:r w:rsidR="0077624F" w:rsidRPr="00DD153E">
        <w:rPr>
          <w:rFonts w:ascii="Corbel" w:hAnsi="Corbel" w:cstheme="minorHAnsi"/>
          <w:color w:val="7F7F7F" w:themeColor="text1" w:themeTint="80"/>
          <w:sz w:val="20"/>
        </w:rPr>
        <w:t>ontinuirani rast zaposlenosti od 2001. godine do 2008. godine prekinut je recesijskim razdobljem i padom zaposlenosti</w:t>
      </w:r>
    </w:p>
    <w:p w:rsidR="0077624F" w:rsidRPr="00DD153E" w:rsidRDefault="0077624F" w:rsidP="0077624F">
      <w:pPr>
        <w:pStyle w:val="Odlomakpopisa"/>
        <w:numPr>
          <w:ilvl w:val="0"/>
          <w:numId w:val="7"/>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Negativne trendove je potrebno što prije zaustaviti jer ako se nastave i nakon 2013. Zadar će se kao i ostali gradovi približiti razini zaposlenosti iz 2001. godine</w:t>
      </w:r>
    </w:p>
    <w:p w:rsidR="0077624F" w:rsidRPr="00DD153E" w:rsidRDefault="0077624F" w:rsidP="0077624F">
      <w:pPr>
        <w:pStyle w:val="Odlomakpopisa"/>
        <w:numPr>
          <w:ilvl w:val="0"/>
          <w:numId w:val="7"/>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Usporedbom podataka o broju zaposlenih za grad i županiju proizlazi da je u gradu Zadru preko 70 % zaposlenih cijele županije</w:t>
      </w:r>
    </w:p>
    <w:p w:rsidR="0077624F" w:rsidRPr="00DD153E" w:rsidRDefault="0077624F" w:rsidP="0077624F">
      <w:pPr>
        <w:pStyle w:val="Odlomakpopisa"/>
        <w:numPr>
          <w:ilvl w:val="0"/>
          <w:numId w:val="7"/>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Najveći broj zaposlenih u gradu Zadru radi u pravnim osobama (80%), zatim kod fizičkih osoba i obrta</w:t>
      </w:r>
    </w:p>
    <w:p w:rsidR="0077624F" w:rsidRPr="00DD153E" w:rsidRDefault="0077624F" w:rsidP="0077624F">
      <w:pPr>
        <w:pBdr>
          <w:left w:val="single" w:sz="4" w:space="4" w:color="4F81BD" w:themeColor="accent1"/>
        </w:pBdr>
        <w:spacing w:afterLines="60" w:after="144" w:line="240" w:lineRule="auto"/>
        <w:ind w:left="360"/>
        <w:rPr>
          <w:rFonts w:ascii="Corbel" w:hAnsi="Corbel" w:cstheme="minorHAnsi"/>
          <w:b/>
          <w:color w:val="7F7F7F" w:themeColor="text1" w:themeTint="80"/>
          <w:sz w:val="20"/>
        </w:rPr>
      </w:pPr>
      <w:r w:rsidRPr="00DD153E">
        <w:rPr>
          <w:rFonts w:ascii="Corbel" w:hAnsi="Corbel" w:cstheme="minorHAnsi"/>
          <w:b/>
          <w:color w:val="7F7F7F" w:themeColor="text1" w:themeTint="80"/>
          <w:sz w:val="20"/>
        </w:rPr>
        <w:t>NEZAPOSLENOST</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Grad Zadar je u svega nekoliko godina uspio smanjiti svoju stopu nezaposlenosti sa 20,36% u 2001. godini na 10,22% u 2008. godini</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Grad Zadar, s obzirom na mogućnosti (usporedba s Pulom) ima relativno visoku stopu nezaposlenosti uzrokovanu demografskom strukturom stanovništva i nedovoljnom potražnjom gospodarstva za radom. Taman kada je stopa trebala pasti ispod 10% uslijedile su godine recesije.</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U razdoblju recesije u Zadru je od svih gradova najsporije rasla nezaposlenost po prosječnoj godišnjoj stopi od 5,55%</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Ako usporedimo kretanje zaposlenosti i nezaposlenosti u krizi, možemo zaključiti kako je Zadar zadržao stabilnost bez većih gubitaka</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Ako to usporedimo s drugim gradovima možemo vidjeti da su izabrani gradovi u godinama rasta rasli sporije od Zadra, dok su u recesiji brže opadali nego što je opadao  Zadar</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Najviše nezaposlenih čine osobe sa završenom srednjom  školom (čak 60% ako zbrojimo trogodišnje i četverogodišnje </w:t>
      </w:r>
      <w:proofErr w:type="spellStart"/>
      <w:r w:rsidRPr="00DD153E">
        <w:rPr>
          <w:rFonts w:ascii="Corbel" w:hAnsi="Corbel" w:cstheme="minorHAnsi"/>
          <w:color w:val="7F7F7F" w:themeColor="text1" w:themeTint="80"/>
          <w:sz w:val="20"/>
        </w:rPr>
        <w:t>SŠ</w:t>
      </w:r>
      <w:proofErr w:type="spellEnd"/>
      <w:r w:rsidRPr="00DD153E">
        <w:rPr>
          <w:rFonts w:ascii="Corbel" w:hAnsi="Corbel" w:cstheme="minorHAnsi"/>
          <w:color w:val="7F7F7F" w:themeColor="text1" w:themeTint="80"/>
          <w:sz w:val="20"/>
        </w:rPr>
        <w:t xml:space="preserve"> obrazovanje). Zatim slijede sa 16% udjela nezaposleni sa osnovnom školom, te nezaposleni sa završenim fakultetom, magisterijem ili doktoratom (13%).</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Povećanje nezaposlenih sa VSS obrazovanjem ukazuje na slabljenje i nestajanje gospodarskih subjekata koji zapošljavaju visoko kvalificiranu radnu snagu</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U ukupnom broju nezaposlenih prevladava dobna skupina od 25-34 godine sa 28 %, što upućuje na zaključak da u strukturi nezaposlenih prevladavaju mladi, obrazovani ljudi.</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Gotovo polovica nezaposlenih (48%) je u dobi od 25-44 godine</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U posljednje tri godine broj mladih nezaposlenih osoba porastao je za 52%</w:t>
      </w:r>
    </w:p>
    <w:p w:rsidR="0077624F" w:rsidRPr="00DD153E" w:rsidRDefault="0077624F" w:rsidP="0077624F">
      <w:pPr>
        <w:pStyle w:val="Odlomakpopisa"/>
        <w:numPr>
          <w:ilvl w:val="0"/>
          <w:numId w:val="8"/>
        </w:numPr>
        <w:pBdr>
          <w:left w:val="single" w:sz="4" w:space="4" w:color="4F81BD" w:themeColor="accent1"/>
        </w:pBdr>
        <w:spacing w:afterLines="60" w:after="144" w:line="240" w:lineRule="auto"/>
        <w:ind w:left="720"/>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Od ukupnog broja nezaposlenih, žena je  57%, ali taj udjel opada kroz posljednje tri godine </w:t>
      </w:r>
    </w:p>
    <w:p w:rsidR="0077624F" w:rsidRPr="00DD153E" w:rsidRDefault="0077624F" w:rsidP="0077624F">
      <w:pPr>
        <w:pBdr>
          <w:left w:val="single" w:sz="4" w:space="4" w:color="4F81BD" w:themeColor="accent1"/>
        </w:pBdr>
        <w:spacing w:afterLines="60" w:after="144" w:line="240" w:lineRule="auto"/>
        <w:ind w:left="360"/>
        <w:rPr>
          <w:rFonts w:ascii="Corbel" w:hAnsi="Corbel" w:cstheme="minorHAnsi"/>
          <w:b/>
          <w:color w:val="7F7F7F" w:themeColor="text1" w:themeTint="80"/>
          <w:sz w:val="20"/>
        </w:rPr>
      </w:pPr>
      <w:r w:rsidRPr="00DD153E">
        <w:rPr>
          <w:rFonts w:ascii="Corbel" w:hAnsi="Corbel" w:cstheme="minorHAnsi"/>
          <w:b/>
          <w:color w:val="7F7F7F" w:themeColor="text1" w:themeTint="80"/>
          <w:sz w:val="20"/>
        </w:rPr>
        <w:t xml:space="preserve">PLAĆE </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Plaće su kontinuirano i ujednačeno  rasle kroz cijelo posljednje desetljeće u Zadarskoj županiji, kao i u ostatku Jadranske Hrvatske</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Zadarska županija je na četvrtom mjestu po visini plaće od 6 izabranih Jadranskih županija</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U 2010.-oj godini (prema NKD 2007) djelatnosti sa najvišim prosječnim isplaćenim plaćama su: Opskrba električnom energijom, plinom, parom i klimatizacija, Prijevoz i skladištenje, Financijske </w:t>
      </w:r>
      <w:r w:rsidRPr="00DD153E">
        <w:rPr>
          <w:rFonts w:ascii="Corbel" w:hAnsi="Corbel" w:cstheme="minorHAnsi"/>
          <w:color w:val="7F7F7F" w:themeColor="text1" w:themeTint="80"/>
          <w:sz w:val="20"/>
        </w:rPr>
        <w:lastRenderedPageBreak/>
        <w:t>djelatnosti i djelatnosti osiguranja, Javna uprava i obrana; obvezno socijalno osiguranje, Djelatnosti zdravstvene zaštite i socijalne skrbi</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Ako usporedimo ranije podatke iz 2007. godine najbolje plaćenim djelatnostima treba dodati još i „Ribarstvo“ (prema NKD 2002). </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Vidljivo je kako među djelatnostima koje su najbrže rasle od 2001.-2007. nema djelatnosti koje se mogu okarakterizirati kao djelatnosti javnog sektora, što nam govori kako su poduzeća ovih sektora u prosperitetnim godinama dobro poslovala (bolje od javnog sektora) te su bila u mogućnosti povećavati svoje plaće brže od poduzeća iz ostalih djelatnosti. </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Važno je vidjeti da su sektori koji su najbrže povećavali svoje plaće uglavnom sektori „usluga“</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Prema stupnju obrazovanja najlošije su plaćeni nekvalificirani radnici i radnici niže stručne spreme</w:t>
      </w:r>
    </w:p>
    <w:p w:rsidR="0077624F" w:rsidRPr="00DD153E" w:rsidRDefault="0077624F" w:rsidP="0077624F">
      <w:pPr>
        <w:pStyle w:val="Odlomakpopisa"/>
        <w:numPr>
          <w:ilvl w:val="0"/>
          <w:numId w:val="9"/>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Podaci pokazuju kako stupanj obrazovanja, značajno utječe na visinu plaće, te kako su zaposleni sa fakultetima iznadprosječno plaćeni</w:t>
      </w:r>
    </w:p>
    <w:p w:rsidR="0077624F" w:rsidRPr="00DD153E" w:rsidRDefault="0077624F" w:rsidP="0077624F">
      <w:pPr>
        <w:pBdr>
          <w:left w:val="single" w:sz="4" w:space="4" w:color="4F81BD" w:themeColor="accent1"/>
        </w:pBdr>
        <w:spacing w:afterLines="60" w:after="144" w:line="240" w:lineRule="auto"/>
        <w:ind w:left="360"/>
        <w:rPr>
          <w:rFonts w:ascii="Corbel" w:hAnsi="Corbel" w:cstheme="minorHAnsi"/>
          <w:b/>
          <w:color w:val="7F7F7F" w:themeColor="text1" w:themeTint="80"/>
          <w:sz w:val="20"/>
        </w:rPr>
      </w:pPr>
      <w:r w:rsidRPr="00DD153E">
        <w:rPr>
          <w:rFonts w:ascii="Corbel" w:hAnsi="Corbel" w:cstheme="minorHAnsi"/>
          <w:b/>
          <w:color w:val="7F7F7F" w:themeColor="text1" w:themeTint="80"/>
          <w:sz w:val="20"/>
        </w:rPr>
        <w:t>INDEKS prosperiteta</w:t>
      </w:r>
    </w:p>
    <w:p w:rsidR="0077624F" w:rsidRPr="00DD153E" w:rsidRDefault="0077624F" w:rsidP="0077624F">
      <w:pPr>
        <w:pStyle w:val="Odlomakpopisa"/>
        <w:numPr>
          <w:ilvl w:val="0"/>
          <w:numId w:val="10"/>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Veliki dobitnik je djelatnost ribarstva koja je rasla prema obje kategorije (plaće i zaposlenost) i uz to je plaća rasla više od zaposlenosti. Zatim slijede građevinarstvo i trgovina sa indeksom 1,19 i 1,04 koji su također značajno rasli po obje kategorije, s tim da građevina ima još izraženiju razliku u rastu plaća od ribarstva.</w:t>
      </w:r>
    </w:p>
    <w:p w:rsidR="0077624F" w:rsidRPr="00DD153E" w:rsidRDefault="0077624F" w:rsidP="0077624F">
      <w:pPr>
        <w:pStyle w:val="Odlomakpopisa"/>
        <w:numPr>
          <w:ilvl w:val="0"/>
          <w:numId w:val="10"/>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 xml:space="preserve">S druge strane građevinarstvo i trgovina u godinama recesije su vrlo brzo opadali </w:t>
      </w:r>
    </w:p>
    <w:p w:rsidR="0077624F" w:rsidRPr="00DD153E" w:rsidRDefault="0077624F" w:rsidP="0077624F">
      <w:pPr>
        <w:pStyle w:val="Odlomakpopisa"/>
        <w:numPr>
          <w:ilvl w:val="0"/>
          <w:numId w:val="10"/>
        </w:numPr>
        <w:pBdr>
          <w:left w:val="single" w:sz="4" w:space="4" w:color="4F81BD" w:themeColor="accent1"/>
        </w:pBdr>
        <w:spacing w:afterLines="60" w:after="144" w:line="240" w:lineRule="auto"/>
        <w:rPr>
          <w:rFonts w:ascii="Corbel" w:hAnsi="Corbel" w:cstheme="minorHAnsi"/>
          <w:color w:val="7F7F7F" w:themeColor="text1" w:themeTint="80"/>
          <w:sz w:val="20"/>
        </w:rPr>
      </w:pPr>
      <w:r w:rsidRPr="00DD153E">
        <w:rPr>
          <w:rFonts w:ascii="Corbel" w:hAnsi="Corbel" w:cstheme="minorHAnsi"/>
          <w:color w:val="7F7F7F" w:themeColor="text1" w:themeTint="80"/>
          <w:sz w:val="20"/>
        </w:rPr>
        <w:t>Industrije gubitnici prema indeksu prosperiteta su sve ostale industrije od kojih zbog svoje veličine treba izdvojiti prerađivačku industriju te prijevoz, skladištenje i veze</w:t>
      </w:r>
    </w:p>
    <w:p w:rsidR="004328E8" w:rsidRDefault="004328E8" w:rsidP="004328E8">
      <w:pPr>
        <w:rPr>
          <w:rFonts w:ascii="Times New Roman" w:hAnsi="Times New Roman" w:cs="Times New Roman"/>
          <w:highlight w:val="yellow"/>
        </w:rPr>
      </w:pPr>
    </w:p>
    <w:p w:rsidR="0041452A" w:rsidRPr="002E1FED" w:rsidRDefault="0041452A" w:rsidP="002E1FED">
      <w:pPr>
        <w:pStyle w:val="Naslov1"/>
        <w:spacing w:after="240"/>
      </w:pPr>
      <w:bookmarkStart w:id="28" w:name="_Toc351539733"/>
      <w:r w:rsidRPr="002E1FED">
        <w:t>2. Indeks prosperiteta</w:t>
      </w:r>
      <w:bookmarkEnd w:id="28"/>
    </w:p>
    <w:p w:rsidR="0041452A" w:rsidRPr="004C6931" w:rsidRDefault="0041452A" w:rsidP="0041452A">
      <w:pPr>
        <w:spacing w:line="240" w:lineRule="auto"/>
        <w:jc w:val="both"/>
        <w:rPr>
          <w:rFonts w:ascii="Corbel" w:hAnsi="Corbel" w:cs="Times New Roman"/>
        </w:rPr>
      </w:pPr>
      <w:r w:rsidRPr="004C6931">
        <w:rPr>
          <w:rFonts w:ascii="Corbel" w:hAnsi="Corbel" w:cs="Times New Roman"/>
        </w:rPr>
        <w:t xml:space="preserve">Moguće je da lokalno gospodarstvo raste iznimno brzo, a da je istodobno stanovništvo siromašnije. Ova iznimna činjenica je osobito karakteristična za manje sredine u kojima se nastane poduzeća sa niskim plaćama, a istodobno povećaju zaposlenost. To znači da stanovništvo ostaje jednako siromašno, a često im bude i gore. </w:t>
      </w:r>
      <w:r w:rsidRPr="004C6931">
        <w:rPr>
          <w:rFonts w:ascii="Corbel" w:hAnsi="Corbel" w:cs="Times New Roman"/>
          <w:b/>
        </w:rPr>
        <w:t>Indeks prosperiteta</w:t>
      </w:r>
      <w:r w:rsidRPr="004C6931">
        <w:rPr>
          <w:rFonts w:ascii="Corbel" w:hAnsi="Corbel" w:cs="Times New Roman"/>
        </w:rPr>
        <w:t xml:space="preserve"> je jednostavna mjera koja pokazuje odnos između porasta plaće i porasta zaposlenosti u nekoj industriji na lokalnoj razini. </w:t>
      </w:r>
      <w:r w:rsidRPr="004C6931">
        <w:rPr>
          <w:rFonts w:ascii="Corbel" w:hAnsi="Corbel" w:cs="Times New Roman"/>
          <w:b/>
        </w:rPr>
        <w:t>Ako je indeks iznad 1.0, plaće su rasle brže od zapošljavanja, a ako je indeks ispod 1.0, plaće su rasle sporije od zapošljavanja</w:t>
      </w:r>
      <w:r w:rsidRPr="004C6931">
        <w:rPr>
          <w:rFonts w:ascii="Corbel" w:hAnsi="Corbel" w:cs="Times New Roman"/>
        </w:rPr>
        <w:t xml:space="preserve">. Razlozi zbog kojih neke industrije imaju slabiji porast plaća od zaposlenosti mogu biti jer  u nekim slučajevima lokalno područje privlači poduzeća sa niskim plaćama, ili razlog može biti zato što su mnogi poslovi u industriji honorarni, privremeni poslovi </w:t>
      </w:r>
      <w:sdt>
        <w:sdtPr>
          <w:rPr>
            <w:rFonts w:ascii="Corbel" w:hAnsi="Corbel" w:cs="Times New Roman"/>
          </w:rPr>
          <w:id w:val="1938400258"/>
          <w:citation/>
        </w:sdtPr>
        <w:sdtContent>
          <w:r w:rsidRPr="004C6931">
            <w:rPr>
              <w:rFonts w:ascii="Corbel" w:hAnsi="Corbel" w:cs="Times New Roman"/>
            </w:rPr>
            <w:fldChar w:fldCharType="begin"/>
          </w:r>
          <w:r w:rsidRPr="004C6931">
            <w:rPr>
              <w:rFonts w:ascii="Corbel" w:hAnsi="Corbel" w:cs="Times New Roman"/>
            </w:rPr>
            <w:instrText xml:space="preserve"> CITATION Bla02 \l 1050 </w:instrText>
          </w:r>
          <w:r w:rsidRPr="004C6931">
            <w:rPr>
              <w:rFonts w:ascii="Corbel" w:hAnsi="Corbel" w:cs="Times New Roman"/>
            </w:rPr>
            <w:fldChar w:fldCharType="separate"/>
          </w:r>
          <w:r w:rsidRPr="004C6931">
            <w:rPr>
              <w:rFonts w:ascii="Corbel" w:hAnsi="Corbel" w:cs="Times New Roman"/>
              <w:noProof/>
            </w:rPr>
            <w:t>(Blakely &amp; Bradshaw, 2002)</w:t>
          </w:r>
          <w:r w:rsidRPr="004C6931">
            <w:rPr>
              <w:rFonts w:ascii="Corbel" w:hAnsi="Corbel" w:cs="Times New Roman"/>
            </w:rPr>
            <w:fldChar w:fldCharType="end"/>
          </w:r>
        </w:sdtContent>
      </w:sdt>
      <w:r w:rsidRPr="004C6931">
        <w:rPr>
          <w:rFonts w:ascii="Corbel" w:hAnsi="Corbel" w:cs="Times New Roman"/>
        </w:rPr>
        <w:t xml:space="preserve">. </w:t>
      </w:r>
    </w:p>
    <w:p w:rsidR="0041452A" w:rsidRPr="004C6931" w:rsidRDefault="0041452A" w:rsidP="0041452A">
      <w:pPr>
        <w:spacing w:line="240" w:lineRule="auto"/>
        <w:jc w:val="both"/>
        <w:rPr>
          <w:rFonts w:ascii="Corbel" w:hAnsi="Corbel" w:cs="Times New Roman"/>
        </w:rPr>
      </w:pPr>
      <w:r w:rsidRPr="004C6931">
        <w:rPr>
          <w:rFonts w:ascii="Corbel" w:hAnsi="Corbel" w:cs="Times New Roman"/>
        </w:rPr>
        <w:t xml:space="preserve">Grad Zadar i Zadarska županija moraju razmotriti žele li usmjeriti napore u privlačenju poslova koji su slabo plaćeni, ili im je cilj stimulirati poduzeća sa bolje plaćenim poslovima koji mogu smanjiti siromaštvo i povećati standard stanovništva. Industrije sa visokim indeksom prosperiteta znaju biti atraktivni kandidati za ekonomski razvoj grada ili županije.  </w:t>
      </w:r>
    </w:p>
    <w:p w:rsidR="0041452A" w:rsidRDefault="0041452A" w:rsidP="0041452A">
      <w:pPr>
        <w:spacing w:line="240" w:lineRule="auto"/>
        <w:jc w:val="both"/>
        <w:rPr>
          <w:rFonts w:ascii="Corbel" w:hAnsi="Corbel" w:cs="Times New Roman"/>
        </w:rPr>
      </w:pPr>
      <w:r w:rsidRPr="004C6931">
        <w:rPr>
          <w:rFonts w:ascii="Corbel" w:hAnsi="Corbel" w:cs="Times New Roman"/>
        </w:rPr>
        <w:t xml:space="preserve">Budući gospodarstvo RH nakon 2008. godine stagnira i opada, pa tako i zaposlenost po djelatnostima, prikazati ćemo indeks konkurentnosti za razdoblje od 2001.-2007. U tim godinama gospodarstvo je stabilno raslo što zaključke analize čini primjenjivim u „normalnim“ gospodarskim uvjetima. </w:t>
      </w:r>
    </w:p>
    <w:p w:rsidR="0041452A" w:rsidRDefault="0041452A" w:rsidP="0041452A">
      <w:pPr>
        <w:spacing w:line="240" w:lineRule="auto"/>
        <w:jc w:val="both"/>
        <w:rPr>
          <w:rFonts w:ascii="Corbel" w:hAnsi="Corbel" w:cs="Times New Roman"/>
        </w:rPr>
      </w:pPr>
    </w:p>
    <w:p w:rsidR="002E1FED" w:rsidRDefault="002E1FED" w:rsidP="0041452A">
      <w:pPr>
        <w:spacing w:line="240" w:lineRule="auto"/>
        <w:jc w:val="both"/>
        <w:rPr>
          <w:rFonts w:ascii="Corbel" w:hAnsi="Corbel" w:cs="Times New Roman"/>
        </w:rPr>
      </w:pPr>
    </w:p>
    <w:p w:rsidR="0041452A" w:rsidRPr="004C6931" w:rsidRDefault="0041452A" w:rsidP="0041452A">
      <w:pPr>
        <w:spacing w:line="240" w:lineRule="auto"/>
        <w:jc w:val="both"/>
        <w:rPr>
          <w:rFonts w:ascii="Corbel" w:hAnsi="Corbel" w:cs="Times New Roman"/>
        </w:rPr>
      </w:pPr>
    </w:p>
    <w:p w:rsidR="0041452A" w:rsidRDefault="0041452A" w:rsidP="0041452A">
      <w:pPr>
        <w:pStyle w:val="Opisslike"/>
        <w:keepNext/>
      </w:pPr>
      <w:bookmarkStart w:id="29" w:name="_Toc351538414"/>
      <w:r>
        <w:lastRenderedPageBreak/>
        <w:t xml:space="preserve">Tablica </w:t>
      </w:r>
      <w:r>
        <w:fldChar w:fldCharType="begin"/>
      </w:r>
      <w:r>
        <w:instrText xml:space="preserve"> SEQ Tablica \* ARABIC </w:instrText>
      </w:r>
      <w:r>
        <w:fldChar w:fldCharType="separate"/>
      </w:r>
      <w:r>
        <w:rPr>
          <w:noProof/>
        </w:rPr>
        <w:t>9</w:t>
      </w:r>
      <w:r>
        <w:rPr>
          <w:noProof/>
        </w:rPr>
        <w:fldChar w:fldCharType="end"/>
      </w:r>
      <w:r>
        <w:t>.: Indeks prosperiteta za Zadarsku županiju po djelatnostima, NKD 2002</w:t>
      </w:r>
      <w:bookmarkEnd w:id="29"/>
    </w:p>
    <w:tbl>
      <w:tblPr>
        <w:tblW w:w="8953" w:type="dxa"/>
        <w:tblInd w:w="93" w:type="dxa"/>
        <w:tblLayout w:type="fixed"/>
        <w:tblLook w:val="04A0" w:firstRow="1" w:lastRow="0" w:firstColumn="1" w:lastColumn="0" w:noHBand="0" w:noVBand="1"/>
      </w:tblPr>
      <w:tblGrid>
        <w:gridCol w:w="3701"/>
        <w:gridCol w:w="1750"/>
        <w:gridCol w:w="1751"/>
        <w:gridCol w:w="1751"/>
      </w:tblGrid>
      <w:tr w:rsidR="0041452A" w:rsidRPr="00721146" w:rsidTr="00F935F5">
        <w:trPr>
          <w:trHeight w:val="391"/>
        </w:trPr>
        <w:tc>
          <w:tcPr>
            <w:tcW w:w="3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452A" w:rsidRPr="00721146" w:rsidRDefault="0041452A" w:rsidP="00F935F5">
            <w:pPr>
              <w:spacing w:after="0" w:line="240" w:lineRule="auto"/>
              <w:jc w:val="center"/>
              <w:rPr>
                <w:rFonts w:ascii="Times New Roman" w:eastAsia="Times New Roman" w:hAnsi="Times New Roman" w:cs="Times New Roman"/>
                <w:color w:val="000000"/>
                <w:sz w:val="20"/>
                <w:szCs w:val="20"/>
                <w:lang w:eastAsia="hr-HR"/>
              </w:rPr>
            </w:pPr>
            <w:r>
              <w:rPr>
                <w:rFonts w:ascii="Times New Roman" w:eastAsia="Times New Roman" w:hAnsi="Times New Roman" w:cs="Times New Roman"/>
                <w:color w:val="000000"/>
                <w:sz w:val="20"/>
                <w:szCs w:val="20"/>
                <w:lang w:eastAsia="hr-HR"/>
              </w:rPr>
              <w:t>DJELATNOST</w:t>
            </w:r>
          </w:p>
        </w:tc>
        <w:tc>
          <w:tcPr>
            <w:tcW w:w="1750" w:type="dxa"/>
            <w:tcBorders>
              <w:top w:val="single" w:sz="4" w:space="0" w:color="auto"/>
              <w:left w:val="nil"/>
              <w:bottom w:val="single" w:sz="4" w:space="0" w:color="auto"/>
              <w:right w:val="single" w:sz="4" w:space="0" w:color="auto"/>
            </w:tcBorders>
            <w:shd w:val="clear" w:color="auto" w:fill="auto"/>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 promjena plaća (2001-2007)</w:t>
            </w:r>
          </w:p>
        </w:tc>
        <w:tc>
          <w:tcPr>
            <w:tcW w:w="1751" w:type="dxa"/>
            <w:tcBorders>
              <w:top w:val="single" w:sz="4" w:space="0" w:color="auto"/>
              <w:left w:val="nil"/>
              <w:bottom w:val="single" w:sz="4" w:space="0" w:color="auto"/>
              <w:right w:val="single" w:sz="4" w:space="0" w:color="auto"/>
            </w:tcBorders>
            <w:shd w:val="clear" w:color="auto" w:fill="auto"/>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 promjena zaposlenost (2001-2007)</w:t>
            </w:r>
          </w:p>
        </w:tc>
        <w:tc>
          <w:tcPr>
            <w:tcW w:w="1751" w:type="dxa"/>
            <w:tcBorders>
              <w:top w:val="single" w:sz="4" w:space="0" w:color="auto"/>
              <w:left w:val="nil"/>
              <w:bottom w:val="single" w:sz="4" w:space="0" w:color="auto"/>
              <w:right w:val="single" w:sz="4" w:space="0" w:color="auto"/>
            </w:tcBorders>
            <w:shd w:val="clear" w:color="000000" w:fill="D9D9D9"/>
            <w:vAlign w:val="bottom"/>
            <w:hideMark/>
          </w:tcPr>
          <w:p w:rsidR="0041452A" w:rsidRPr="00A74B47" w:rsidRDefault="0041452A" w:rsidP="00F935F5">
            <w:pPr>
              <w:spacing w:after="0" w:line="240" w:lineRule="auto"/>
              <w:rPr>
                <w:rFonts w:ascii="Times New Roman" w:eastAsia="Times New Roman" w:hAnsi="Times New Roman" w:cs="Times New Roman"/>
                <w:b/>
                <w:bCs/>
                <w:color w:val="000000"/>
                <w:sz w:val="18"/>
                <w:szCs w:val="20"/>
                <w:lang w:eastAsia="hr-HR"/>
              </w:rPr>
            </w:pPr>
            <w:r w:rsidRPr="00A74B47">
              <w:rPr>
                <w:rFonts w:ascii="Times New Roman" w:eastAsia="Times New Roman" w:hAnsi="Times New Roman" w:cs="Times New Roman"/>
                <w:b/>
                <w:bCs/>
                <w:color w:val="000000"/>
                <w:sz w:val="18"/>
                <w:szCs w:val="20"/>
                <w:lang w:eastAsia="hr-HR"/>
              </w:rPr>
              <w:t>INDEKS PROSPERITETA</w:t>
            </w:r>
          </w:p>
        </w:tc>
      </w:tr>
      <w:tr w:rsidR="0041452A" w:rsidRPr="00721146" w:rsidTr="00F935F5">
        <w:trPr>
          <w:trHeight w:val="261"/>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Poljoprivreda, lov i šumarstvo</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51,58</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1,04</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FF00"/>
                <w:sz w:val="20"/>
                <w:szCs w:val="20"/>
                <w:lang w:eastAsia="hr-HR"/>
              </w:rPr>
            </w:pPr>
            <w:r w:rsidRPr="00721146">
              <w:rPr>
                <w:rFonts w:ascii="Times New Roman" w:eastAsia="Times New Roman" w:hAnsi="Times New Roman" w:cs="Times New Roman"/>
                <w:b/>
                <w:bCs/>
                <w:color w:val="C00000"/>
                <w:sz w:val="20"/>
                <w:szCs w:val="20"/>
                <w:lang w:eastAsia="hr-HR"/>
              </w:rPr>
              <w:t>49,81</w:t>
            </w:r>
          </w:p>
        </w:tc>
      </w:tr>
      <w:tr w:rsidR="0041452A" w:rsidRPr="00721146" w:rsidTr="00F935F5">
        <w:trPr>
          <w:trHeight w:val="130"/>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Ribarstvo</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49,87</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42,66</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C00000"/>
                <w:sz w:val="20"/>
                <w:szCs w:val="20"/>
                <w:lang w:eastAsia="hr-HR"/>
              </w:rPr>
              <w:t>1,17</w:t>
            </w:r>
          </w:p>
        </w:tc>
      </w:tr>
      <w:tr w:rsidR="0041452A" w:rsidRPr="00721146" w:rsidTr="00F935F5">
        <w:trPr>
          <w:trHeight w:val="130"/>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Rudarstvo i vađenje</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25,31</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34,06</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0,74</w:t>
            </w:r>
          </w:p>
        </w:tc>
      </w:tr>
      <w:tr w:rsidR="0041452A" w:rsidRPr="00721146" w:rsidTr="00F935F5">
        <w:trPr>
          <w:trHeight w:val="215"/>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Prerađivačka industrija</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37,17</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-17,94</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-2,07</w:t>
            </w:r>
          </w:p>
        </w:tc>
      </w:tr>
      <w:tr w:rsidR="0041452A" w:rsidRPr="00721146" w:rsidTr="00F935F5">
        <w:trPr>
          <w:trHeight w:val="284"/>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Opskrba električnom energijom, plinom i vodom</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34,60</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-3,77</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-9,18</w:t>
            </w:r>
          </w:p>
        </w:tc>
      </w:tr>
      <w:tr w:rsidR="0041452A" w:rsidRPr="00721146" w:rsidTr="00F935F5">
        <w:trPr>
          <w:trHeight w:val="130"/>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Građevinarstvo</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44,09</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36,90</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C00000"/>
                <w:sz w:val="20"/>
                <w:szCs w:val="20"/>
                <w:lang w:eastAsia="hr-HR"/>
              </w:rPr>
              <w:t>1,19</w:t>
            </w:r>
          </w:p>
        </w:tc>
      </w:tr>
      <w:tr w:rsidR="0041452A" w:rsidRPr="00721146" w:rsidTr="00F935F5">
        <w:trPr>
          <w:trHeight w:val="391"/>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Trgovina na veliko i malo; popravak motornih vozila i motocikla te predmeta za osobnu…</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40,33</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38,67</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C00000"/>
                <w:sz w:val="20"/>
                <w:szCs w:val="20"/>
                <w:lang w:eastAsia="hr-HR"/>
              </w:rPr>
              <w:t>1,04</w:t>
            </w:r>
          </w:p>
        </w:tc>
      </w:tr>
      <w:tr w:rsidR="0041452A" w:rsidRPr="00721146" w:rsidTr="00F935F5">
        <w:trPr>
          <w:trHeight w:val="130"/>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Hoteli i restorani</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35,27</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0,97</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C00000"/>
                <w:sz w:val="20"/>
                <w:szCs w:val="20"/>
                <w:lang w:eastAsia="hr-HR"/>
              </w:rPr>
              <w:t>36,48</w:t>
            </w:r>
          </w:p>
        </w:tc>
      </w:tr>
      <w:tr w:rsidR="0041452A" w:rsidRPr="00721146" w:rsidTr="00F935F5">
        <w:trPr>
          <w:trHeight w:val="144"/>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Prijevoz, skladištenje i veze</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34,52</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-10,68</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-3,23</w:t>
            </w:r>
          </w:p>
        </w:tc>
      </w:tr>
      <w:tr w:rsidR="0041452A" w:rsidRPr="00721146" w:rsidTr="00F935F5">
        <w:trPr>
          <w:trHeight w:val="130"/>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Financijsko posredovanje</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26,64</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29,25</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0,91</w:t>
            </w:r>
          </w:p>
        </w:tc>
      </w:tr>
      <w:tr w:rsidR="0041452A" w:rsidRPr="00721146" w:rsidTr="00F935F5">
        <w:trPr>
          <w:trHeight w:val="261"/>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Poslovanje nekretninama, iznajmljivanje i poslovne usluge</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50,37</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54,98</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0,92</w:t>
            </w:r>
          </w:p>
        </w:tc>
      </w:tr>
      <w:tr w:rsidR="0041452A" w:rsidRPr="00721146" w:rsidTr="00F935F5">
        <w:trPr>
          <w:trHeight w:val="94"/>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Javna uprava i obrana, obavezno socijalno osiguranje</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34,31</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151,20</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0,23</w:t>
            </w:r>
          </w:p>
        </w:tc>
      </w:tr>
      <w:tr w:rsidR="0041452A" w:rsidRPr="00721146" w:rsidTr="00F935F5">
        <w:trPr>
          <w:trHeight w:val="261"/>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Obrazovanje</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28,54</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21,14</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C00000"/>
                <w:sz w:val="20"/>
                <w:szCs w:val="20"/>
                <w:lang w:eastAsia="hr-HR"/>
              </w:rPr>
            </w:pPr>
            <w:r w:rsidRPr="00721146">
              <w:rPr>
                <w:rFonts w:ascii="Times New Roman" w:eastAsia="Times New Roman" w:hAnsi="Times New Roman" w:cs="Times New Roman"/>
                <w:b/>
                <w:bCs/>
                <w:color w:val="C00000"/>
                <w:sz w:val="20"/>
                <w:szCs w:val="20"/>
                <w:lang w:eastAsia="hr-HR"/>
              </w:rPr>
              <w:t>1,35</w:t>
            </w:r>
          </w:p>
        </w:tc>
      </w:tr>
      <w:tr w:rsidR="0041452A" w:rsidRPr="00721146" w:rsidTr="00F935F5">
        <w:trPr>
          <w:trHeight w:val="261"/>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Zdravstvena zaštita i socijalna skrb</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30,10</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8,76</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C00000"/>
                <w:sz w:val="20"/>
                <w:szCs w:val="20"/>
                <w:lang w:eastAsia="hr-HR"/>
              </w:rPr>
            </w:pPr>
            <w:r w:rsidRPr="00721146">
              <w:rPr>
                <w:rFonts w:ascii="Times New Roman" w:eastAsia="Times New Roman" w:hAnsi="Times New Roman" w:cs="Times New Roman"/>
                <w:b/>
                <w:bCs/>
                <w:color w:val="C00000"/>
                <w:sz w:val="20"/>
                <w:szCs w:val="20"/>
                <w:lang w:eastAsia="hr-HR"/>
              </w:rPr>
              <w:t>3,43</w:t>
            </w:r>
          </w:p>
        </w:tc>
      </w:tr>
      <w:tr w:rsidR="0041452A" w:rsidRPr="00721146" w:rsidTr="00F935F5">
        <w:trPr>
          <w:trHeight w:val="391"/>
        </w:trPr>
        <w:tc>
          <w:tcPr>
            <w:tcW w:w="3701" w:type="dxa"/>
            <w:tcBorders>
              <w:top w:val="nil"/>
              <w:left w:val="single" w:sz="4" w:space="0" w:color="auto"/>
              <w:bottom w:val="single" w:sz="4" w:space="0" w:color="auto"/>
              <w:right w:val="single" w:sz="4" w:space="0" w:color="auto"/>
            </w:tcBorders>
            <w:shd w:val="clear" w:color="auto" w:fill="auto"/>
            <w:vAlign w:val="bottom"/>
            <w:hideMark/>
          </w:tcPr>
          <w:p w:rsidR="0041452A" w:rsidRPr="00721146" w:rsidRDefault="0041452A" w:rsidP="00F935F5">
            <w:pPr>
              <w:spacing w:after="0" w:line="240" w:lineRule="auto"/>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Ostale društvene, socijalne i osobne uslužne djelatnosti</w:t>
            </w:r>
          </w:p>
        </w:tc>
        <w:tc>
          <w:tcPr>
            <w:tcW w:w="1750"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30,43</w:t>
            </w:r>
          </w:p>
        </w:tc>
        <w:tc>
          <w:tcPr>
            <w:tcW w:w="1751" w:type="dxa"/>
            <w:tcBorders>
              <w:top w:val="nil"/>
              <w:left w:val="nil"/>
              <w:bottom w:val="single" w:sz="4" w:space="0" w:color="auto"/>
              <w:right w:val="single" w:sz="4" w:space="0" w:color="auto"/>
            </w:tcBorders>
            <w:shd w:val="clear" w:color="auto" w:fill="auto"/>
            <w:noWrap/>
            <w:vAlign w:val="bottom"/>
            <w:hideMark/>
          </w:tcPr>
          <w:p w:rsidR="0041452A" w:rsidRPr="00721146" w:rsidRDefault="0041452A" w:rsidP="00F935F5">
            <w:pPr>
              <w:spacing w:after="0" w:line="240" w:lineRule="auto"/>
              <w:jc w:val="right"/>
              <w:rPr>
                <w:rFonts w:ascii="Times New Roman" w:eastAsia="Times New Roman" w:hAnsi="Times New Roman" w:cs="Times New Roman"/>
                <w:color w:val="000000"/>
                <w:sz w:val="20"/>
                <w:szCs w:val="20"/>
                <w:lang w:eastAsia="hr-HR"/>
              </w:rPr>
            </w:pPr>
            <w:r w:rsidRPr="00721146">
              <w:rPr>
                <w:rFonts w:ascii="Times New Roman" w:eastAsia="Times New Roman" w:hAnsi="Times New Roman" w:cs="Times New Roman"/>
                <w:color w:val="000000"/>
                <w:sz w:val="20"/>
                <w:szCs w:val="20"/>
                <w:lang w:eastAsia="hr-HR"/>
              </w:rPr>
              <w:t>85,88</w:t>
            </w:r>
          </w:p>
        </w:tc>
        <w:tc>
          <w:tcPr>
            <w:tcW w:w="1751" w:type="dxa"/>
            <w:tcBorders>
              <w:top w:val="nil"/>
              <w:left w:val="nil"/>
              <w:bottom w:val="single" w:sz="4" w:space="0" w:color="auto"/>
              <w:right w:val="single" w:sz="4" w:space="0" w:color="auto"/>
            </w:tcBorders>
            <w:shd w:val="clear" w:color="000000" w:fill="D9D9D9"/>
            <w:noWrap/>
            <w:vAlign w:val="bottom"/>
            <w:hideMark/>
          </w:tcPr>
          <w:p w:rsidR="0041452A" w:rsidRPr="00721146" w:rsidRDefault="0041452A" w:rsidP="00F935F5">
            <w:pPr>
              <w:spacing w:after="0" w:line="240" w:lineRule="auto"/>
              <w:jc w:val="right"/>
              <w:rPr>
                <w:rFonts w:ascii="Times New Roman" w:eastAsia="Times New Roman" w:hAnsi="Times New Roman" w:cs="Times New Roman"/>
                <w:b/>
                <w:bCs/>
                <w:color w:val="000000"/>
                <w:sz w:val="20"/>
                <w:szCs w:val="20"/>
                <w:lang w:eastAsia="hr-HR"/>
              </w:rPr>
            </w:pPr>
            <w:r w:rsidRPr="00721146">
              <w:rPr>
                <w:rFonts w:ascii="Times New Roman" w:eastAsia="Times New Roman" w:hAnsi="Times New Roman" w:cs="Times New Roman"/>
                <w:b/>
                <w:bCs/>
                <w:color w:val="000000"/>
                <w:sz w:val="20"/>
                <w:szCs w:val="20"/>
                <w:lang w:eastAsia="hr-HR"/>
              </w:rPr>
              <w:t>0,35</w:t>
            </w:r>
          </w:p>
        </w:tc>
      </w:tr>
    </w:tbl>
    <w:p w:rsidR="0041452A" w:rsidRPr="00180A5F" w:rsidRDefault="0041452A" w:rsidP="0041452A">
      <w:pPr>
        <w:rPr>
          <w:rFonts w:ascii="Times New Roman" w:hAnsi="Times New Roman" w:cs="Times New Roman"/>
          <w:sz w:val="20"/>
        </w:rPr>
      </w:pPr>
      <w:r w:rsidRPr="00180A5F">
        <w:rPr>
          <w:rFonts w:ascii="Times New Roman" w:hAnsi="Times New Roman" w:cs="Times New Roman"/>
          <w:sz w:val="20"/>
        </w:rPr>
        <w:t>Izvor: DZS, Statistička izvješća, zaposlenost i plaće, po godinama, obrada: ZADRA</w:t>
      </w:r>
    </w:p>
    <w:p w:rsidR="0041452A" w:rsidRPr="004C6931" w:rsidRDefault="0041452A" w:rsidP="0041452A">
      <w:pPr>
        <w:spacing w:line="240" w:lineRule="auto"/>
        <w:jc w:val="both"/>
        <w:rPr>
          <w:rFonts w:ascii="Corbel" w:hAnsi="Corbel" w:cs="Times New Roman"/>
        </w:rPr>
      </w:pPr>
      <w:r w:rsidRPr="004C6931">
        <w:rPr>
          <w:rFonts w:ascii="Corbel" w:hAnsi="Corbel" w:cs="Times New Roman"/>
        </w:rPr>
        <w:t xml:space="preserve">Crvenim brojkama u tablici označene su djelatnosti „dobitnici“, dok su ostale djelatnosti izgubile ili prema broju zaposlenih ili je plaća manje rasla od porasta zaposlenosti. </w:t>
      </w:r>
      <w:r w:rsidRPr="004C6931">
        <w:rPr>
          <w:rFonts w:ascii="Corbel" w:hAnsi="Corbel" w:cs="Times New Roman"/>
          <w:b/>
        </w:rPr>
        <w:t>Poljoprivreda</w:t>
      </w:r>
      <w:r w:rsidRPr="004C6931">
        <w:rPr>
          <w:rFonts w:ascii="Corbel" w:hAnsi="Corbel" w:cs="Times New Roman"/>
        </w:rPr>
        <w:t xml:space="preserve"> ima izniman porast plaće, no utvrdili smo ranije da se plaća u poljoprivredi tek približila prosječnoj županijskoj plaći u 2007. godini, dok je zaposlenost jedva porasla za 1,04%. Isto je i sa </w:t>
      </w:r>
      <w:r w:rsidRPr="004C6931">
        <w:rPr>
          <w:rFonts w:ascii="Corbel" w:hAnsi="Corbel" w:cs="Times New Roman"/>
          <w:b/>
        </w:rPr>
        <w:t xml:space="preserve">Hotelima i restoranima </w:t>
      </w:r>
      <w:r w:rsidRPr="004C6931">
        <w:rPr>
          <w:rFonts w:ascii="Corbel" w:hAnsi="Corbel" w:cs="Times New Roman"/>
        </w:rPr>
        <w:t>kojima je indeks 36,48</w:t>
      </w:r>
      <w:r w:rsidRPr="004C6931">
        <w:rPr>
          <w:rFonts w:ascii="Corbel" w:hAnsi="Corbel" w:cs="Times New Roman"/>
          <w:b/>
        </w:rPr>
        <w:t xml:space="preserve"> i koji su kao i poljoprivreda značajno rasli u plaćama (do županijskog prosjeka) ali je zaposlenost gotovo na istoj razini kao i 2001. godine.</w:t>
      </w:r>
    </w:p>
    <w:p w:rsidR="0041452A" w:rsidRPr="004C6931" w:rsidRDefault="0041452A" w:rsidP="0041452A">
      <w:pPr>
        <w:spacing w:line="240" w:lineRule="auto"/>
        <w:jc w:val="both"/>
        <w:rPr>
          <w:rFonts w:ascii="Corbel" w:hAnsi="Corbel" w:cs="Times New Roman"/>
          <w:b/>
        </w:rPr>
      </w:pPr>
      <w:r w:rsidRPr="004C6931">
        <w:rPr>
          <w:rFonts w:ascii="Corbel" w:hAnsi="Corbel" w:cs="Times New Roman"/>
          <w:b/>
        </w:rPr>
        <w:t>Veliki dobitnik je djelatnost ribarstva</w:t>
      </w:r>
      <w:r w:rsidRPr="004C6931">
        <w:rPr>
          <w:rFonts w:ascii="Corbel" w:hAnsi="Corbel" w:cs="Times New Roman"/>
        </w:rPr>
        <w:t xml:space="preserve"> koja je značajno rasla prema obje kategorije i uz to je plaća rasla više od zaposlenosti. Zatim slijede </w:t>
      </w:r>
      <w:r w:rsidRPr="004C6931">
        <w:rPr>
          <w:rFonts w:ascii="Corbel" w:hAnsi="Corbel" w:cs="Times New Roman"/>
          <w:b/>
        </w:rPr>
        <w:t xml:space="preserve">građevinarstvo i trgovina sa indeksom 1,19 i 1,04 </w:t>
      </w:r>
      <w:r w:rsidRPr="004C6931">
        <w:rPr>
          <w:rFonts w:ascii="Corbel" w:hAnsi="Corbel" w:cs="Times New Roman"/>
        </w:rPr>
        <w:t>koji su također značajno rasli po obje kategorije</w:t>
      </w:r>
      <w:r w:rsidRPr="004C6931">
        <w:rPr>
          <w:rFonts w:ascii="Corbel" w:hAnsi="Corbel" w:cs="Times New Roman"/>
          <w:b/>
        </w:rPr>
        <w:t xml:space="preserve">, </w:t>
      </w:r>
      <w:r w:rsidRPr="004C6931">
        <w:rPr>
          <w:rFonts w:ascii="Corbel" w:hAnsi="Corbel" w:cs="Times New Roman"/>
        </w:rPr>
        <w:t>s tim da</w:t>
      </w:r>
      <w:r w:rsidRPr="004C6931">
        <w:rPr>
          <w:rFonts w:ascii="Corbel" w:hAnsi="Corbel" w:cs="Times New Roman"/>
          <w:b/>
        </w:rPr>
        <w:t xml:space="preserve"> građevina ima još izraženiju razliku u rastu plaća od ribarstva. </w:t>
      </w:r>
    </w:p>
    <w:p w:rsidR="0041452A" w:rsidRPr="004C6931" w:rsidRDefault="0041452A" w:rsidP="0041452A">
      <w:pPr>
        <w:spacing w:line="240" w:lineRule="auto"/>
        <w:jc w:val="both"/>
        <w:rPr>
          <w:rFonts w:ascii="Corbel" w:hAnsi="Corbel" w:cs="Times New Roman"/>
        </w:rPr>
      </w:pPr>
      <w:r w:rsidRPr="004C6931">
        <w:rPr>
          <w:rFonts w:ascii="Corbel" w:hAnsi="Corbel" w:cs="Times New Roman"/>
        </w:rPr>
        <w:t xml:space="preserve">S druge strane </w:t>
      </w:r>
      <w:r w:rsidRPr="004C6931">
        <w:rPr>
          <w:rFonts w:ascii="Corbel" w:hAnsi="Corbel" w:cs="Times New Roman"/>
          <w:b/>
        </w:rPr>
        <w:t>građevinarstvo i trgovina u godinama recesije su vrlo brzo opadali</w:t>
      </w:r>
      <w:r w:rsidRPr="004C6931">
        <w:rPr>
          <w:rFonts w:ascii="Corbel" w:hAnsi="Corbel" w:cs="Times New Roman"/>
        </w:rPr>
        <w:t xml:space="preserve"> u </w:t>
      </w:r>
      <w:r w:rsidRPr="004C6931">
        <w:rPr>
          <w:rFonts w:ascii="Corbel" w:hAnsi="Corbel" w:cs="Times New Roman"/>
          <w:b/>
        </w:rPr>
        <w:t xml:space="preserve">obje kategorije, </w:t>
      </w:r>
      <w:r w:rsidRPr="004F2FBF">
        <w:rPr>
          <w:rFonts w:ascii="Corbel" w:hAnsi="Corbel" w:cs="Times New Roman"/>
          <w:b/>
        </w:rPr>
        <w:t>iz čega možemo zaključiti kako su obje djelatnosti brzo rastuće u godinama prosperiteta uz visoki dohodak zaposlenika, dok je u doba recesije situacija obratna</w:t>
      </w:r>
      <w:r w:rsidRPr="004F2FBF">
        <w:rPr>
          <w:rFonts w:ascii="Corbel" w:hAnsi="Corbel" w:cs="Times New Roman"/>
        </w:rPr>
        <w:t>. To se isto ne može zaključiti za primjerice ribarstvo koje je ostalo stabilnije u doba recesije i koje može poslužiti kao pozitivni „primjer“ gospodarstva županije. Preostale djelatnosti dobitnici su djelatnosti javnog sektora - obrazovanje i zdravstvena zaštita, sa indeksom 1,35 i 3,43. Obje</w:t>
      </w:r>
      <w:r w:rsidRPr="004C6931">
        <w:rPr>
          <w:rFonts w:ascii="Corbel" w:hAnsi="Corbel" w:cs="Times New Roman"/>
        </w:rPr>
        <w:t xml:space="preserve"> djelatnosti bilježe umjeren rast plaća i zaposlenosti u analiziranom razdoblju.</w:t>
      </w:r>
    </w:p>
    <w:p w:rsidR="0041452A" w:rsidRPr="004C6931" w:rsidRDefault="0041452A" w:rsidP="0041452A">
      <w:pPr>
        <w:spacing w:line="240" w:lineRule="auto"/>
        <w:jc w:val="both"/>
        <w:rPr>
          <w:rFonts w:ascii="Corbel" w:hAnsi="Corbel" w:cs="Times New Roman"/>
        </w:rPr>
      </w:pPr>
      <w:r w:rsidRPr="004C6931">
        <w:rPr>
          <w:rFonts w:ascii="Corbel" w:hAnsi="Corbel" w:cs="Times New Roman"/>
        </w:rPr>
        <w:t xml:space="preserve">Industrije gubitnici prema indeksu prosperiteta su sve ostale industrije od kojih zbog svoje veličine treba izdvojiti </w:t>
      </w:r>
      <w:r w:rsidRPr="004C6931">
        <w:rPr>
          <w:rFonts w:ascii="Corbel" w:hAnsi="Corbel" w:cs="Times New Roman"/>
          <w:b/>
        </w:rPr>
        <w:t xml:space="preserve">prerađivačku </w:t>
      </w:r>
      <w:r w:rsidRPr="004F2FBF">
        <w:rPr>
          <w:rFonts w:ascii="Corbel" w:hAnsi="Corbel" w:cs="Times New Roman"/>
          <w:b/>
        </w:rPr>
        <w:t>industriju te prijevoz</w:t>
      </w:r>
      <w:r w:rsidRPr="004F2FBF">
        <w:rPr>
          <w:rFonts w:ascii="Corbel" w:hAnsi="Corbel" w:cs="Times New Roman"/>
        </w:rPr>
        <w:t xml:space="preserve">, </w:t>
      </w:r>
      <w:r w:rsidRPr="004F2FBF">
        <w:rPr>
          <w:rFonts w:ascii="Corbel" w:hAnsi="Corbel" w:cs="Times New Roman"/>
          <w:b/>
        </w:rPr>
        <w:t>skladištenje i veze</w:t>
      </w:r>
      <w:r w:rsidRPr="004F2FBF">
        <w:rPr>
          <w:rFonts w:ascii="Corbel" w:hAnsi="Corbel" w:cs="Times New Roman"/>
        </w:rPr>
        <w:t xml:space="preserve">, koje su obje značajno </w:t>
      </w:r>
      <w:r w:rsidRPr="004C6931">
        <w:rPr>
          <w:rFonts w:ascii="Corbel" w:hAnsi="Corbel" w:cs="Times New Roman"/>
        </w:rPr>
        <w:t xml:space="preserve">opale prema broju zaposlenih. </w:t>
      </w:r>
      <w:r w:rsidRPr="004C6931">
        <w:rPr>
          <w:rFonts w:ascii="Corbel" w:hAnsi="Corbel" w:cs="Times New Roman"/>
          <w:b/>
        </w:rPr>
        <w:t>Kako je u tom razdoblju zaposlenost rasla, a broj nezaposlenih opadao, znači da su radnici iz tih djelatnosti pronašli posao u nekim drugim, vjerojatno brže rastućim industrijama</w:t>
      </w:r>
      <w:r w:rsidRPr="004C6931">
        <w:rPr>
          <w:rFonts w:ascii="Corbel" w:hAnsi="Corbel" w:cs="Times New Roman"/>
        </w:rPr>
        <w:t xml:space="preserve">. </w:t>
      </w:r>
    </w:p>
    <w:p w:rsidR="0041452A" w:rsidRDefault="0041452A" w:rsidP="0041452A">
      <w:pPr>
        <w:rPr>
          <w:rFonts w:ascii="Corbel" w:hAnsi="Corbel"/>
          <w:sz w:val="28"/>
          <w:highlight w:val="yellow"/>
        </w:rPr>
      </w:pPr>
    </w:p>
    <w:p w:rsidR="00412AD8" w:rsidRPr="002E1FED" w:rsidRDefault="0041452A" w:rsidP="002E1FED">
      <w:pPr>
        <w:pStyle w:val="Naslov1"/>
        <w:spacing w:after="240"/>
      </w:pPr>
      <w:bookmarkStart w:id="30" w:name="_Toc351539734"/>
      <w:r w:rsidRPr="002E1FED">
        <w:lastRenderedPageBreak/>
        <w:t>3</w:t>
      </w:r>
      <w:r w:rsidR="00FA09B0" w:rsidRPr="002E1FED">
        <w:t xml:space="preserve">. </w:t>
      </w:r>
      <w:r w:rsidR="00412AD8" w:rsidRPr="002E1FED">
        <w:t>Struktura gospodarstva</w:t>
      </w:r>
      <w:bookmarkEnd w:id="30"/>
    </w:p>
    <w:p w:rsidR="00343FEC" w:rsidRPr="001D6AD0" w:rsidRDefault="00343FEC" w:rsidP="007E4EAC">
      <w:pPr>
        <w:jc w:val="both"/>
        <w:rPr>
          <w:rFonts w:ascii="Corbel" w:hAnsi="Corbel" w:cs="Times New Roman"/>
        </w:rPr>
      </w:pPr>
      <w:r w:rsidRPr="001D6AD0">
        <w:rPr>
          <w:rFonts w:ascii="Corbel" w:hAnsi="Corbel" w:cs="Times New Roman"/>
          <w:i/>
        </w:rPr>
        <w:t xml:space="preserve">Kako je Zadarsko gospodarstvo strukturirano i koji su uzroci rasta u godinama prosperiteta ? </w:t>
      </w:r>
      <w:r w:rsidR="004E0373" w:rsidRPr="001D6AD0">
        <w:rPr>
          <w:rFonts w:ascii="Corbel" w:hAnsi="Corbel" w:cs="Times New Roman"/>
        </w:rPr>
        <w:t>Odg</w:t>
      </w:r>
      <w:r w:rsidRPr="001D6AD0">
        <w:rPr>
          <w:rFonts w:ascii="Corbel" w:hAnsi="Corbel" w:cs="Times New Roman"/>
        </w:rPr>
        <w:t xml:space="preserve">ovore na to pitanje analizirati ćemo u sklopu ovog poglavlja. </w:t>
      </w:r>
      <w:r w:rsidR="004E0373" w:rsidRPr="001D6AD0">
        <w:rPr>
          <w:rFonts w:ascii="Corbel" w:hAnsi="Corbel" w:cs="Times New Roman"/>
        </w:rPr>
        <w:t>P</w:t>
      </w:r>
      <w:r w:rsidRPr="001D6AD0">
        <w:rPr>
          <w:rFonts w:ascii="Corbel" w:hAnsi="Corbel" w:cs="Times New Roman"/>
          <w:b/>
        </w:rPr>
        <w:t xml:space="preserve">oglavlje </w:t>
      </w:r>
      <w:r w:rsidR="00B457B5" w:rsidRPr="001D6AD0">
        <w:rPr>
          <w:rFonts w:ascii="Corbel" w:hAnsi="Corbel" w:cs="Times New Roman"/>
          <w:b/>
        </w:rPr>
        <w:t xml:space="preserve">se u potpunosti </w:t>
      </w:r>
      <w:r w:rsidRPr="001D6AD0">
        <w:rPr>
          <w:rFonts w:ascii="Corbel" w:hAnsi="Corbel" w:cs="Times New Roman"/>
          <w:b/>
        </w:rPr>
        <w:t>n</w:t>
      </w:r>
      <w:r w:rsidR="00B457B5" w:rsidRPr="001D6AD0">
        <w:rPr>
          <w:rFonts w:ascii="Corbel" w:hAnsi="Corbel" w:cs="Times New Roman"/>
          <w:b/>
        </w:rPr>
        <w:t>astavlja</w:t>
      </w:r>
      <w:r w:rsidRPr="001D6AD0">
        <w:rPr>
          <w:rFonts w:ascii="Corbel" w:hAnsi="Corbel" w:cs="Times New Roman"/>
          <w:b/>
        </w:rPr>
        <w:t xml:space="preserve"> na analizu tržišta rada</w:t>
      </w:r>
      <w:r w:rsidR="00B457B5" w:rsidRPr="001D6AD0">
        <w:rPr>
          <w:rFonts w:ascii="Corbel" w:hAnsi="Corbel" w:cs="Times New Roman"/>
        </w:rPr>
        <w:t xml:space="preserve"> jer se p</w:t>
      </w:r>
      <w:r w:rsidRPr="001D6AD0">
        <w:rPr>
          <w:rFonts w:ascii="Corbel" w:hAnsi="Corbel" w:cs="Times New Roman"/>
        </w:rPr>
        <w:t xml:space="preserve">ri </w:t>
      </w:r>
      <w:r w:rsidR="005166F6" w:rsidRPr="001D6AD0">
        <w:rPr>
          <w:rFonts w:ascii="Corbel" w:hAnsi="Corbel" w:cs="Times New Roman"/>
        </w:rPr>
        <w:t>analizi</w:t>
      </w:r>
      <w:r w:rsidRPr="001D6AD0">
        <w:rPr>
          <w:rFonts w:ascii="Corbel" w:hAnsi="Corbel" w:cs="Times New Roman"/>
        </w:rPr>
        <w:t xml:space="preserve"> k</w:t>
      </w:r>
      <w:r w:rsidR="00B457B5" w:rsidRPr="001D6AD0">
        <w:rPr>
          <w:rFonts w:ascii="Corbel" w:hAnsi="Corbel" w:cs="Times New Roman"/>
        </w:rPr>
        <w:t>oriste</w:t>
      </w:r>
      <w:r w:rsidRPr="001D6AD0">
        <w:rPr>
          <w:rFonts w:ascii="Corbel" w:hAnsi="Corbel" w:cs="Times New Roman"/>
        </w:rPr>
        <w:t xml:space="preserve"> podaci o zaposlenosti</w:t>
      </w:r>
      <w:r w:rsidR="005166F6" w:rsidRPr="001D6AD0">
        <w:rPr>
          <w:rFonts w:ascii="Corbel" w:hAnsi="Corbel" w:cs="Times New Roman"/>
        </w:rPr>
        <w:t xml:space="preserve"> za područje grada</w:t>
      </w:r>
      <w:r w:rsidRPr="001D6AD0">
        <w:rPr>
          <w:rFonts w:ascii="Corbel" w:hAnsi="Corbel" w:cs="Times New Roman"/>
        </w:rPr>
        <w:t xml:space="preserve">, no sa intencijom da se pojasni koje su to industrije najvažnije u </w:t>
      </w:r>
      <w:r w:rsidR="002848F0" w:rsidRPr="001D6AD0">
        <w:rPr>
          <w:rFonts w:ascii="Corbel" w:hAnsi="Corbel" w:cs="Times New Roman"/>
        </w:rPr>
        <w:t xml:space="preserve">gospodarstvu </w:t>
      </w:r>
      <w:r w:rsidRPr="001D6AD0">
        <w:rPr>
          <w:rFonts w:ascii="Corbel" w:hAnsi="Corbel" w:cs="Times New Roman"/>
        </w:rPr>
        <w:t xml:space="preserve">gradu, kako su rasle u odnosu na prosjek RH, te </w:t>
      </w:r>
      <w:r w:rsidR="005166F6" w:rsidRPr="00DE3176">
        <w:rPr>
          <w:rFonts w:ascii="Corbel" w:hAnsi="Corbel" w:cs="Times New Roman"/>
          <w:b/>
        </w:rPr>
        <w:t>što za</w:t>
      </w:r>
      <w:r w:rsidR="00A801BB" w:rsidRPr="00DE3176">
        <w:rPr>
          <w:rFonts w:ascii="Corbel" w:hAnsi="Corbel" w:cs="Times New Roman"/>
          <w:b/>
        </w:rPr>
        <w:t>pravo sačinjava ekonomsku bazu z</w:t>
      </w:r>
      <w:r w:rsidR="005166F6" w:rsidRPr="00DE3176">
        <w:rPr>
          <w:rFonts w:ascii="Corbel" w:hAnsi="Corbel" w:cs="Times New Roman"/>
          <w:b/>
        </w:rPr>
        <w:t xml:space="preserve">adarskog </w:t>
      </w:r>
      <w:r w:rsidR="00E30326" w:rsidRPr="00DE3176">
        <w:rPr>
          <w:rFonts w:ascii="Corbel" w:hAnsi="Corbel" w:cs="Times New Roman"/>
          <w:b/>
        </w:rPr>
        <w:t>gospodarstva</w:t>
      </w:r>
      <w:r w:rsidR="00A801BB" w:rsidRPr="001D6AD0">
        <w:rPr>
          <w:rFonts w:ascii="Corbel" w:hAnsi="Corbel" w:cs="Times New Roman"/>
        </w:rPr>
        <w:t>.</w:t>
      </w:r>
    </w:p>
    <w:p w:rsidR="00A74B47" w:rsidRPr="001D6AD0" w:rsidRDefault="00A74B47" w:rsidP="007E4EAC">
      <w:pPr>
        <w:jc w:val="both"/>
        <w:rPr>
          <w:rFonts w:ascii="Corbel" w:hAnsi="Corbel" w:cs="Times New Roman"/>
        </w:rPr>
      </w:pPr>
      <w:r w:rsidRPr="001D6AD0">
        <w:rPr>
          <w:rFonts w:ascii="Corbel" w:hAnsi="Corbel" w:cs="Times New Roman"/>
        </w:rPr>
        <w:t xml:space="preserve">Standardna mjera za procjenu </w:t>
      </w:r>
      <w:r w:rsidR="00CE4336" w:rsidRPr="001D6AD0">
        <w:rPr>
          <w:rFonts w:ascii="Corbel" w:hAnsi="Corbel" w:cs="Times New Roman"/>
        </w:rPr>
        <w:t xml:space="preserve">važnosti pojedinih </w:t>
      </w:r>
      <w:r w:rsidRPr="001D6AD0">
        <w:rPr>
          <w:rFonts w:ascii="Corbel" w:hAnsi="Corbel" w:cs="Times New Roman"/>
        </w:rPr>
        <w:t>industrijskih sektora</w:t>
      </w:r>
      <w:r w:rsidR="00CE4336" w:rsidRPr="001D6AD0">
        <w:rPr>
          <w:rFonts w:ascii="Corbel" w:hAnsi="Corbel" w:cs="Times New Roman"/>
        </w:rPr>
        <w:t xml:space="preserve"> u</w:t>
      </w:r>
      <w:r w:rsidRPr="001D6AD0">
        <w:rPr>
          <w:rFonts w:ascii="Corbel" w:hAnsi="Corbel" w:cs="Times New Roman"/>
        </w:rPr>
        <w:t xml:space="preserve"> gospodarstva je broj zaposlenih</w:t>
      </w:r>
      <w:r w:rsidR="00CE4336" w:rsidRPr="001D6AD0">
        <w:rPr>
          <w:rFonts w:ascii="Corbel" w:hAnsi="Corbel" w:cs="Times New Roman"/>
        </w:rPr>
        <w:t xml:space="preserve"> po djelatnostima</w:t>
      </w:r>
      <w:r w:rsidRPr="001D6AD0">
        <w:rPr>
          <w:rFonts w:ascii="Corbel" w:hAnsi="Corbel" w:cs="Times New Roman"/>
        </w:rPr>
        <w:t xml:space="preserve">, jer se  upravo </w:t>
      </w:r>
      <w:r w:rsidR="00341C2A" w:rsidRPr="001D6AD0">
        <w:rPr>
          <w:rFonts w:ascii="Corbel" w:hAnsi="Corbel" w:cs="Times New Roman"/>
        </w:rPr>
        <w:t>sektori sa najvećim udjelom</w:t>
      </w:r>
      <w:r w:rsidRPr="001D6AD0">
        <w:rPr>
          <w:rFonts w:ascii="Corbel" w:hAnsi="Corbel" w:cs="Times New Roman"/>
        </w:rPr>
        <w:t xml:space="preserve"> zaposlenih </w:t>
      </w:r>
      <w:r w:rsidR="00341C2A" w:rsidRPr="001D6AD0">
        <w:rPr>
          <w:rFonts w:ascii="Corbel" w:hAnsi="Corbel" w:cs="Times New Roman"/>
        </w:rPr>
        <w:t>u ukupnoj zaposlenosti lokalnog područja gledaju kao sektori koji najviše utječu na prosperitet nekog po</w:t>
      </w:r>
      <w:r w:rsidR="00CE4336" w:rsidRPr="001D6AD0">
        <w:rPr>
          <w:rFonts w:ascii="Corbel" w:hAnsi="Corbel" w:cs="Times New Roman"/>
        </w:rPr>
        <w:t xml:space="preserve">dručja. </w:t>
      </w:r>
      <w:r w:rsidR="00341C2A" w:rsidRPr="001D6AD0">
        <w:rPr>
          <w:rFonts w:ascii="Corbel" w:hAnsi="Corbel" w:cs="Times New Roman"/>
        </w:rPr>
        <w:t xml:space="preserve">U gradu Zadru sljedeće djelatnosti čine </w:t>
      </w:r>
      <w:r w:rsidR="00341C2A" w:rsidRPr="001D6AD0">
        <w:rPr>
          <w:rFonts w:ascii="Corbel" w:hAnsi="Corbel" w:cs="Times New Roman"/>
          <w:b/>
        </w:rPr>
        <w:t>40% zaposlenih u ukupnom gospodarstvu grada</w:t>
      </w:r>
      <w:r w:rsidR="00341C2A" w:rsidRPr="001D6AD0">
        <w:rPr>
          <w:rFonts w:ascii="Corbel" w:hAnsi="Corbel" w:cs="Times New Roman"/>
        </w:rPr>
        <w:t>:</w:t>
      </w:r>
    </w:p>
    <w:p w:rsidR="00341C2A" w:rsidRPr="001D6AD0" w:rsidRDefault="005C2302" w:rsidP="00994508">
      <w:pPr>
        <w:ind w:left="708"/>
        <w:jc w:val="both"/>
        <w:rPr>
          <w:rFonts w:ascii="Corbel" w:hAnsi="Corbel" w:cs="Times New Roman"/>
          <w:b/>
        </w:rPr>
      </w:pPr>
      <w:r w:rsidRPr="001D6AD0">
        <w:rPr>
          <w:rFonts w:ascii="Corbel" w:hAnsi="Corbel" w:cs="Times New Roman"/>
          <w:b/>
        </w:rPr>
        <w:t xml:space="preserve">(C) </w:t>
      </w:r>
      <w:r w:rsidR="00341C2A" w:rsidRPr="001D6AD0">
        <w:rPr>
          <w:rFonts w:ascii="Corbel" w:hAnsi="Corbel" w:cs="Times New Roman"/>
          <w:b/>
        </w:rPr>
        <w:t>Prerađivačka industrija</w:t>
      </w:r>
      <w:r w:rsidR="00CE4336" w:rsidRPr="001D6AD0">
        <w:rPr>
          <w:rFonts w:ascii="Corbel" w:hAnsi="Corbel" w:cs="Times New Roman"/>
          <w:b/>
        </w:rPr>
        <w:t xml:space="preserve"> (8%)</w:t>
      </w:r>
    </w:p>
    <w:p w:rsidR="00341C2A" w:rsidRPr="001D6AD0" w:rsidRDefault="005C2302" w:rsidP="00994508">
      <w:pPr>
        <w:ind w:left="708"/>
        <w:jc w:val="both"/>
        <w:rPr>
          <w:rFonts w:ascii="Corbel" w:hAnsi="Corbel" w:cs="Times New Roman"/>
          <w:b/>
        </w:rPr>
      </w:pPr>
      <w:r w:rsidRPr="001D6AD0">
        <w:rPr>
          <w:rFonts w:ascii="Corbel" w:hAnsi="Corbel" w:cs="Times New Roman"/>
          <w:b/>
        </w:rPr>
        <w:t xml:space="preserve">(F) </w:t>
      </w:r>
      <w:r w:rsidR="00341C2A" w:rsidRPr="001D6AD0">
        <w:rPr>
          <w:rFonts w:ascii="Corbel" w:hAnsi="Corbel" w:cs="Times New Roman"/>
          <w:b/>
        </w:rPr>
        <w:t>Građevinarstvo</w:t>
      </w:r>
      <w:r w:rsidR="00CE4336" w:rsidRPr="001D6AD0">
        <w:rPr>
          <w:rFonts w:ascii="Corbel" w:hAnsi="Corbel" w:cs="Times New Roman"/>
          <w:b/>
        </w:rPr>
        <w:t xml:space="preserve"> (6%)</w:t>
      </w:r>
    </w:p>
    <w:p w:rsidR="00341C2A" w:rsidRPr="001D6AD0" w:rsidRDefault="005C2302" w:rsidP="00994508">
      <w:pPr>
        <w:ind w:left="708"/>
        <w:jc w:val="both"/>
        <w:rPr>
          <w:rFonts w:ascii="Corbel" w:hAnsi="Corbel" w:cs="Times New Roman"/>
          <w:b/>
        </w:rPr>
      </w:pPr>
      <w:r w:rsidRPr="001D6AD0">
        <w:rPr>
          <w:rFonts w:ascii="Corbel" w:hAnsi="Corbel" w:cs="Times New Roman"/>
          <w:b/>
        </w:rPr>
        <w:t xml:space="preserve">(G) </w:t>
      </w:r>
      <w:r w:rsidR="00341C2A" w:rsidRPr="001D6AD0">
        <w:rPr>
          <w:rFonts w:ascii="Corbel" w:hAnsi="Corbel" w:cs="Times New Roman"/>
          <w:b/>
        </w:rPr>
        <w:t>Trgovina na veliko i na malo</w:t>
      </w:r>
      <w:r w:rsidR="00CE4336" w:rsidRPr="001D6AD0">
        <w:rPr>
          <w:rFonts w:ascii="Corbel" w:hAnsi="Corbel" w:cs="Times New Roman"/>
          <w:b/>
        </w:rPr>
        <w:t xml:space="preserve"> (20%)</w:t>
      </w:r>
    </w:p>
    <w:p w:rsidR="00341C2A" w:rsidRPr="001D6AD0" w:rsidRDefault="005C2302" w:rsidP="00994508">
      <w:pPr>
        <w:ind w:left="708"/>
        <w:jc w:val="both"/>
        <w:rPr>
          <w:rFonts w:ascii="Corbel" w:hAnsi="Corbel" w:cs="Times New Roman"/>
          <w:b/>
        </w:rPr>
      </w:pPr>
      <w:r w:rsidRPr="001D6AD0">
        <w:rPr>
          <w:rFonts w:ascii="Corbel" w:hAnsi="Corbel" w:cs="Times New Roman"/>
          <w:b/>
        </w:rPr>
        <w:t>(H) Prijevoz i skladištenje</w:t>
      </w:r>
      <w:r w:rsidR="00CE4336" w:rsidRPr="001D6AD0">
        <w:rPr>
          <w:rFonts w:ascii="Corbel" w:hAnsi="Corbel" w:cs="Times New Roman"/>
          <w:b/>
        </w:rPr>
        <w:t xml:space="preserve"> (6%)</w:t>
      </w:r>
    </w:p>
    <w:p w:rsidR="00CE4336" w:rsidRPr="001D6AD0" w:rsidRDefault="00CE4336" w:rsidP="00CE4336">
      <w:pPr>
        <w:jc w:val="both"/>
        <w:rPr>
          <w:rFonts w:ascii="Corbel" w:hAnsi="Corbel" w:cs="Times New Roman"/>
        </w:rPr>
      </w:pPr>
      <w:r w:rsidRPr="001D6AD0">
        <w:rPr>
          <w:rFonts w:ascii="Corbel" w:hAnsi="Corbel" w:cs="Times New Roman"/>
        </w:rPr>
        <w:t xml:space="preserve">Ovim djelatnostima također treba dodati djelatnost (K) </w:t>
      </w:r>
      <w:r w:rsidRPr="001D6AD0">
        <w:rPr>
          <w:rFonts w:ascii="Corbel" w:hAnsi="Corbel" w:cs="Times New Roman"/>
          <w:i/>
        </w:rPr>
        <w:t xml:space="preserve">Financijske djelatnosti i djelatnosti osiguranja, </w:t>
      </w:r>
      <w:r w:rsidRPr="001D6AD0">
        <w:rPr>
          <w:rFonts w:ascii="Corbel" w:hAnsi="Corbel" w:cs="Times New Roman"/>
        </w:rPr>
        <w:t xml:space="preserve">te djelatnost (N) </w:t>
      </w:r>
      <w:r w:rsidRPr="001D6AD0">
        <w:rPr>
          <w:rFonts w:ascii="Corbel" w:hAnsi="Corbel" w:cs="Times New Roman"/>
          <w:i/>
        </w:rPr>
        <w:t xml:space="preserve">Administrativne i pomoćne uslužne djelatnosti, </w:t>
      </w:r>
      <w:r w:rsidRPr="001D6AD0">
        <w:rPr>
          <w:rFonts w:ascii="Corbel" w:hAnsi="Corbel" w:cs="Times New Roman"/>
        </w:rPr>
        <w:t>koje čine 9</w:t>
      </w:r>
      <w:r w:rsidR="00211F55">
        <w:rPr>
          <w:rFonts w:ascii="Corbel" w:hAnsi="Corbel" w:cs="Times New Roman"/>
        </w:rPr>
        <w:t>% od ukupnog gospodarstva grada.</w:t>
      </w:r>
    </w:p>
    <w:p w:rsidR="00CE4336" w:rsidRPr="001D6AD0" w:rsidRDefault="00CE4336" w:rsidP="00CE4336">
      <w:pPr>
        <w:jc w:val="both"/>
        <w:rPr>
          <w:rFonts w:ascii="Corbel" w:hAnsi="Corbel" w:cs="Times New Roman"/>
        </w:rPr>
      </w:pPr>
      <w:r w:rsidRPr="001D6AD0">
        <w:rPr>
          <w:rFonts w:ascii="Corbel" w:hAnsi="Corbel" w:cs="Times New Roman"/>
        </w:rPr>
        <w:t>Sektori koji se mogu okarakterizirati kao javni sektori, ili se</w:t>
      </w:r>
      <w:r w:rsidRPr="001D6AD0">
        <w:rPr>
          <w:rFonts w:ascii="Corbel" w:hAnsi="Corbel" w:cs="Times New Roman"/>
          <w:b/>
        </w:rPr>
        <w:t>ktori u koji</w:t>
      </w:r>
      <w:r w:rsidR="00BE3FE9" w:rsidRPr="001D6AD0">
        <w:rPr>
          <w:rFonts w:ascii="Corbel" w:hAnsi="Corbel" w:cs="Times New Roman"/>
          <w:b/>
        </w:rPr>
        <w:t>ma je većina zaposlenih korisnik</w:t>
      </w:r>
      <w:r w:rsidRPr="001D6AD0">
        <w:rPr>
          <w:rFonts w:ascii="Corbel" w:hAnsi="Corbel" w:cs="Times New Roman"/>
          <w:b/>
        </w:rPr>
        <w:t xml:space="preserve"> državnog ili lokalnog proračuna čine</w:t>
      </w:r>
      <w:r w:rsidR="001B4008" w:rsidRPr="001D6AD0">
        <w:rPr>
          <w:rFonts w:ascii="Corbel" w:hAnsi="Corbel" w:cs="Times New Roman"/>
          <w:b/>
        </w:rPr>
        <w:t xml:space="preserve"> najmanje</w:t>
      </w:r>
      <w:r w:rsidR="001B4008" w:rsidRPr="001D6AD0">
        <w:rPr>
          <w:rStyle w:val="Referencafusnote"/>
          <w:rFonts w:ascii="Corbel" w:hAnsi="Corbel" w:cs="Times New Roman"/>
          <w:b/>
        </w:rPr>
        <w:footnoteReference w:id="6"/>
      </w:r>
      <w:r w:rsidRPr="001D6AD0">
        <w:rPr>
          <w:rFonts w:ascii="Corbel" w:hAnsi="Corbel" w:cs="Times New Roman"/>
          <w:b/>
        </w:rPr>
        <w:t xml:space="preserve"> </w:t>
      </w:r>
      <w:r w:rsidR="001B4008" w:rsidRPr="001D6AD0">
        <w:rPr>
          <w:rFonts w:ascii="Corbel" w:hAnsi="Corbel" w:cs="Times New Roman"/>
          <w:b/>
        </w:rPr>
        <w:t>30</w:t>
      </w:r>
      <w:r w:rsidRPr="001D6AD0">
        <w:rPr>
          <w:rFonts w:ascii="Corbel" w:hAnsi="Corbel" w:cs="Times New Roman"/>
          <w:b/>
        </w:rPr>
        <w:t xml:space="preserve">% gospodarstva </w:t>
      </w:r>
      <w:r w:rsidRPr="001D6AD0">
        <w:rPr>
          <w:rFonts w:ascii="Corbel" w:hAnsi="Corbel" w:cs="Times New Roman"/>
        </w:rPr>
        <w:t>grada. To su:</w:t>
      </w:r>
    </w:p>
    <w:p w:rsidR="001B4008" w:rsidRPr="001D6AD0" w:rsidRDefault="001B4008" w:rsidP="000F32FD">
      <w:pPr>
        <w:ind w:left="708"/>
        <w:jc w:val="both"/>
        <w:rPr>
          <w:rFonts w:ascii="Corbel" w:hAnsi="Corbel" w:cs="Times New Roman"/>
        </w:rPr>
      </w:pPr>
      <w:r w:rsidRPr="001D6AD0">
        <w:rPr>
          <w:rFonts w:ascii="Corbel" w:hAnsi="Corbel" w:cs="Times New Roman"/>
        </w:rPr>
        <w:t>(O) Javna uprava i obrana; obvezno socijalno osiguranje</w:t>
      </w:r>
    </w:p>
    <w:p w:rsidR="001B4008" w:rsidRPr="001D6AD0" w:rsidRDefault="001B4008" w:rsidP="000F32FD">
      <w:pPr>
        <w:ind w:left="708"/>
        <w:jc w:val="both"/>
        <w:rPr>
          <w:rFonts w:ascii="Corbel" w:hAnsi="Corbel" w:cs="Times New Roman"/>
        </w:rPr>
      </w:pPr>
      <w:r w:rsidRPr="001D6AD0">
        <w:rPr>
          <w:rFonts w:ascii="Corbel" w:hAnsi="Corbel" w:cs="Times New Roman"/>
        </w:rPr>
        <w:t>(P) Obrazovanje</w:t>
      </w:r>
    </w:p>
    <w:p w:rsidR="001B4008" w:rsidRPr="001D6AD0" w:rsidRDefault="001B4008" w:rsidP="000F32FD">
      <w:pPr>
        <w:ind w:left="708"/>
        <w:jc w:val="both"/>
        <w:rPr>
          <w:rFonts w:ascii="Corbel" w:hAnsi="Corbel" w:cs="Times New Roman"/>
        </w:rPr>
      </w:pPr>
      <w:r w:rsidRPr="001D6AD0">
        <w:rPr>
          <w:rFonts w:ascii="Corbel" w:hAnsi="Corbel" w:cs="Times New Roman"/>
        </w:rPr>
        <w:t>(Q) Djelatnosti zdravstvene zaštite i socijalne skrbi</w:t>
      </w:r>
    </w:p>
    <w:p w:rsidR="00CE4336" w:rsidRPr="001D6AD0" w:rsidRDefault="00BE1376" w:rsidP="0032381C">
      <w:pPr>
        <w:spacing w:line="240" w:lineRule="auto"/>
        <w:jc w:val="both"/>
        <w:rPr>
          <w:rFonts w:ascii="Corbel" w:hAnsi="Corbel" w:cs="Times New Roman"/>
        </w:rPr>
      </w:pPr>
      <w:r w:rsidRPr="001D6AD0">
        <w:rPr>
          <w:rFonts w:ascii="Corbel" w:hAnsi="Corbel" w:cs="Times New Roman"/>
        </w:rPr>
        <w:t xml:space="preserve">Možemo zaključiti kako </w:t>
      </w:r>
      <w:r w:rsidRPr="001D6AD0">
        <w:rPr>
          <w:rFonts w:ascii="Corbel" w:hAnsi="Corbel" w:cs="Times New Roman"/>
          <w:b/>
        </w:rPr>
        <w:t>ne postoji izražena specijalizacija</w:t>
      </w:r>
      <w:r w:rsidRPr="001D6AD0">
        <w:rPr>
          <w:rFonts w:ascii="Corbel" w:hAnsi="Corbel" w:cs="Times New Roman"/>
        </w:rPr>
        <w:t xml:space="preserve"> u ni jednoj od djelatnosti, osim možda trgovini, te da je gospodarstvo grada diversificirano</w:t>
      </w:r>
      <w:r w:rsidR="00601E3E" w:rsidRPr="001D6AD0">
        <w:rPr>
          <w:rFonts w:ascii="Corbel" w:hAnsi="Corbel" w:cs="Times New Roman"/>
        </w:rPr>
        <w:t xml:space="preserve">, tj. većina djelatnosti je </w:t>
      </w:r>
      <w:r w:rsidR="00115A2D" w:rsidRPr="001D6AD0">
        <w:rPr>
          <w:rFonts w:ascii="Corbel" w:hAnsi="Corbel" w:cs="Times New Roman"/>
        </w:rPr>
        <w:t>ravnomjerno</w:t>
      </w:r>
      <w:r w:rsidR="00601E3E" w:rsidRPr="001D6AD0">
        <w:rPr>
          <w:rFonts w:ascii="Corbel" w:hAnsi="Corbel" w:cs="Times New Roman"/>
        </w:rPr>
        <w:t xml:space="preserve"> zastupljena u strukturi </w:t>
      </w:r>
      <w:r w:rsidR="001B4008" w:rsidRPr="001D6AD0">
        <w:rPr>
          <w:rFonts w:ascii="Corbel" w:hAnsi="Corbel" w:cs="Times New Roman"/>
        </w:rPr>
        <w:t>gospodarstva</w:t>
      </w:r>
      <w:r w:rsidR="00601E3E" w:rsidRPr="001D6AD0">
        <w:rPr>
          <w:rFonts w:ascii="Corbel" w:hAnsi="Corbel" w:cs="Times New Roman"/>
        </w:rPr>
        <w:t xml:space="preserve"> grada</w:t>
      </w:r>
      <w:r w:rsidR="001B4008" w:rsidRPr="001D6AD0">
        <w:rPr>
          <w:rFonts w:ascii="Corbel" w:hAnsi="Corbel" w:cs="Times New Roman"/>
        </w:rPr>
        <w:t>.</w:t>
      </w:r>
      <w:r w:rsidR="00115A2D" w:rsidRPr="001D6AD0">
        <w:rPr>
          <w:rFonts w:ascii="Corbel" w:hAnsi="Corbel" w:cs="Times New Roman"/>
        </w:rPr>
        <w:t xml:space="preserve"> </w:t>
      </w:r>
      <w:r w:rsidR="00FF2513" w:rsidRPr="001D6AD0">
        <w:rPr>
          <w:rFonts w:ascii="Corbel" w:hAnsi="Corbel" w:cs="Times New Roman"/>
        </w:rPr>
        <w:t>Spomenutoj tvrdnji</w:t>
      </w:r>
      <w:r w:rsidR="00115A2D" w:rsidRPr="001D6AD0">
        <w:rPr>
          <w:rFonts w:ascii="Corbel" w:hAnsi="Corbel" w:cs="Times New Roman"/>
        </w:rPr>
        <w:t xml:space="preserve"> u prilog ide i usporedba sa Pulom</w:t>
      </w:r>
      <w:r w:rsidR="00FF2513" w:rsidRPr="001D6AD0">
        <w:rPr>
          <w:rFonts w:ascii="Corbel" w:hAnsi="Corbel" w:cs="Times New Roman"/>
        </w:rPr>
        <w:t xml:space="preserve"> u kojoj je zastupljenost </w:t>
      </w:r>
      <w:r w:rsidR="00FF2513" w:rsidRPr="001D6AD0">
        <w:rPr>
          <w:rFonts w:ascii="Corbel" w:hAnsi="Corbel" w:cs="Times New Roman"/>
          <w:b/>
        </w:rPr>
        <w:t>Prerađivačke djelatnosti značajno veća nego u Zadru i iznosi 23%!</w:t>
      </w:r>
      <w:r w:rsidR="00FF2513" w:rsidRPr="001D6AD0">
        <w:rPr>
          <w:rFonts w:ascii="Corbel" w:hAnsi="Corbel" w:cs="Times New Roman"/>
        </w:rPr>
        <w:t xml:space="preserve"> Trgovina je na 14%, dok su djelatnosti javnog sektora (O, P, Q) </w:t>
      </w:r>
      <w:r w:rsidR="00450F2E" w:rsidRPr="001D6AD0">
        <w:rPr>
          <w:rFonts w:ascii="Corbel" w:hAnsi="Corbel" w:cs="Times New Roman"/>
        </w:rPr>
        <w:t>niže nego u Zadru</w:t>
      </w:r>
      <w:r w:rsidR="00450F2E">
        <w:rPr>
          <w:rFonts w:ascii="Corbel" w:hAnsi="Corbel" w:cs="Times New Roman"/>
        </w:rPr>
        <w:t xml:space="preserve"> i čine</w:t>
      </w:r>
      <w:r w:rsidR="00450F2E" w:rsidRPr="001D6AD0">
        <w:rPr>
          <w:rFonts w:ascii="Corbel" w:hAnsi="Corbel" w:cs="Times New Roman"/>
        </w:rPr>
        <w:t xml:space="preserve"> </w:t>
      </w:r>
      <w:r w:rsidR="00FF2513" w:rsidRPr="001D6AD0">
        <w:rPr>
          <w:rFonts w:ascii="Corbel" w:hAnsi="Corbel" w:cs="Times New Roman"/>
        </w:rPr>
        <w:t xml:space="preserve">27%, </w:t>
      </w:r>
      <w:r w:rsidR="00450F2E">
        <w:rPr>
          <w:rFonts w:ascii="Corbel" w:hAnsi="Corbel" w:cs="Times New Roman"/>
        </w:rPr>
        <w:t>gospodarstva</w:t>
      </w:r>
      <w:r w:rsidR="00FF2513" w:rsidRPr="001D6AD0">
        <w:rPr>
          <w:rFonts w:ascii="Corbel" w:hAnsi="Corbel" w:cs="Times New Roman"/>
        </w:rPr>
        <w:t>.</w:t>
      </w:r>
      <w:r w:rsidR="008915AD" w:rsidRPr="001D6AD0">
        <w:rPr>
          <w:rFonts w:ascii="Corbel" w:hAnsi="Corbel" w:cs="Times New Roman"/>
        </w:rPr>
        <w:t xml:space="preserve"> </w:t>
      </w:r>
      <w:r w:rsidR="008915AD" w:rsidRPr="001D6AD0">
        <w:rPr>
          <w:rFonts w:ascii="Corbel" w:hAnsi="Corbel" w:cs="Times New Roman"/>
          <w:b/>
        </w:rPr>
        <w:t>Prema tome, mogućnost daljnjeg napretka i specijalizacije</w:t>
      </w:r>
      <w:r w:rsidR="00F84BB3" w:rsidRPr="001D6AD0">
        <w:rPr>
          <w:rFonts w:ascii="Corbel" w:hAnsi="Corbel" w:cs="Times New Roman"/>
          <w:b/>
        </w:rPr>
        <w:t xml:space="preserve"> Zadra</w:t>
      </w:r>
      <w:r w:rsidR="008915AD" w:rsidRPr="001D6AD0">
        <w:rPr>
          <w:rFonts w:ascii="Corbel" w:hAnsi="Corbel" w:cs="Times New Roman"/>
          <w:b/>
        </w:rPr>
        <w:t xml:space="preserve"> evidentna je u području prerađivačke industrije, što znači da ostale djelatnosti mogu nastaviti rasti jednakom dinamikom, dok bi prerađivačka industrija trebala rasti brže</w:t>
      </w:r>
      <w:r w:rsidR="008915AD" w:rsidRPr="001D6AD0">
        <w:rPr>
          <w:rFonts w:ascii="Corbel" w:hAnsi="Corbel" w:cs="Times New Roman"/>
        </w:rPr>
        <w:t xml:space="preserve"> kako bi povećala svoj udio u gospodarskoj strukturi grada.</w:t>
      </w:r>
    </w:p>
    <w:p w:rsidR="00ED28D3" w:rsidRDefault="00ED28D3" w:rsidP="00ED28D3">
      <w:pPr>
        <w:pStyle w:val="Opisslike"/>
        <w:keepNext/>
        <w:jc w:val="both"/>
      </w:pPr>
      <w:bookmarkStart w:id="31" w:name="_Toc351538479"/>
      <w:r>
        <w:lastRenderedPageBreak/>
        <w:t xml:space="preserve">Slika </w:t>
      </w:r>
      <w:fldSimple w:instr=" SEQ Slika \* ARABIC ">
        <w:r w:rsidR="001E7A09">
          <w:rPr>
            <w:noProof/>
          </w:rPr>
          <w:t>16</w:t>
        </w:r>
      </w:fldSimple>
      <w:r>
        <w:t>.: Struktura zaposlenosti po djelatnostima u gradu Zadru 2011. godine</w:t>
      </w:r>
      <w:bookmarkEnd w:id="31"/>
    </w:p>
    <w:p w:rsidR="00ED28D3" w:rsidRDefault="00ED28D3" w:rsidP="00A74B47">
      <w:pPr>
        <w:spacing w:after="0"/>
        <w:jc w:val="both"/>
        <w:rPr>
          <w:rFonts w:ascii="Times New Roman" w:hAnsi="Times New Roman" w:cs="Times New Roman"/>
        </w:rPr>
      </w:pPr>
      <w:r>
        <w:rPr>
          <w:noProof/>
          <w:lang w:eastAsia="hr-HR"/>
        </w:rPr>
        <w:drawing>
          <wp:inline distT="0" distB="0" distL="0" distR="0" wp14:anchorId="511952FB" wp14:editId="53913868">
            <wp:extent cx="5539563" cy="3434316"/>
            <wp:effectExtent l="0" t="0" r="23495" b="13970"/>
            <wp:docPr id="13" name="Grafikon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3654B" w:rsidRDefault="00E3654B" w:rsidP="00A74B47">
      <w:pPr>
        <w:spacing w:after="0"/>
        <w:jc w:val="both"/>
        <w:rPr>
          <w:rFonts w:ascii="Times New Roman" w:hAnsi="Times New Roman" w:cs="Times New Roman"/>
        </w:rPr>
      </w:pPr>
      <w:r>
        <w:rPr>
          <w:rFonts w:ascii="Times New Roman" w:hAnsi="Times New Roman" w:cs="Times New Roman"/>
        </w:rPr>
        <w:t>Izvor: DZS, Statističko izvješće, obrada: ZADRA</w:t>
      </w:r>
    </w:p>
    <w:p w:rsidR="00A74B47" w:rsidRPr="00A74B47" w:rsidRDefault="00A74B47" w:rsidP="00A74B47">
      <w:pPr>
        <w:spacing w:after="0"/>
        <w:jc w:val="both"/>
        <w:rPr>
          <w:rFonts w:ascii="Times New Roman" w:hAnsi="Times New Roman" w:cs="Times New Roman"/>
        </w:rPr>
      </w:pPr>
      <w:r>
        <w:rPr>
          <w:rFonts w:ascii="Times New Roman" w:hAnsi="Times New Roman" w:cs="Times New Roman"/>
        </w:rPr>
        <w:t>*kazalo djelatnosti je na kraju poglavlja</w:t>
      </w:r>
    </w:p>
    <w:p w:rsidR="00A74B47" w:rsidRPr="001D6AD0" w:rsidRDefault="00A74B47" w:rsidP="007E4EAC">
      <w:pPr>
        <w:jc w:val="both"/>
        <w:rPr>
          <w:rFonts w:ascii="Corbel" w:hAnsi="Corbel" w:cs="Times New Roman"/>
        </w:rPr>
      </w:pPr>
    </w:p>
    <w:p w:rsidR="00E30326" w:rsidRPr="001D6AD0" w:rsidRDefault="00E30326" w:rsidP="0041452A">
      <w:pPr>
        <w:rPr>
          <w:rFonts w:ascii="Corbel" w:hAnsi="Corbel" w:cs="Times New Roman"/>
          <w:b/>
          <w:sz w:val="24"/>
        </w:rPr>
      </w:pPr>
      <w:r w:rsidRPr="001D6AD0">
        <w:rPr>
          <w:rFonts w:ascii="Corbel" w:hAnsi="Corbel" w:cs="Times New Roman"/>
          <w:b/>
          <w:sz w:val="24"/>
        </w:rPr>
        <w:t>Lokacijski kvoc</w:t>
      </w:r>
      <w:r w:rsidR="00CD7CA8" w:rsidRPr="001D6AD0">
        <w:rPr>
          <w:rFonts w:ascii="Corbel" w:hAnsi="Corbel" w:cs="Times New Roman"/>
          <w:b/>
          <w:sz w:val="24"/>
        </w:rPr>
        <w:t>i</w:t>
      </w:r>
      <w:r w:rsidRPr="001D6AD0">
        <w:rPr>
          <w:rFonts w:ascii="Corbel" w:hAnsi="Corbel" w:cs="Times New Roman"/>
          <w:b/>
          <w:sz w:val="24"/>
        </w:rPr>
        <w:t>jent</w:t>
      </w:r>
    </w:p>
    <w:p w:rsidR="001A390C" w:rsidRPr="001D6AD0" w:rsidRDefault="000A0A74" w:rsidP="00523629">
      <w:pPr>
        <w:spacing w:after="0" w:line="240" w:lineRule="auto"/>
        <w:jc w:val="both"/>
        <w:rPr>
          <w:rFonts w:ascii="Corbel" w:hAnsi="Corbel" w:cs="Arial"/>
        </w:rPr>
      </w:pPr>
      <w:r w:rsidRPr="001D6AD0">
        <w:rPr>
          <w:rFonts w:ascii="Corbel" w:hAnsi="Corbel"/>
        </w:rPr>
        <w:t>Lokacijski kvocijent (</w:t>
      </w:r>
      <w:proofErr w:type="spellStart"/>
      <w:r w:rsidRPr="001D6AD0">
        <w:rPr>
          <w:rFonts w:ascii="Corbel" w:hAnsi="Corbel"/>
        </w:rPr>
        <w:t>LQ</w:t>
      </w:r>
      <w:proofErr w:type="spellEnd"/>
      <w:r w:rsidRPr="001D6AD0">
        <w:rPr>
          <w:rFonts w:ascii="Corbel" w:hAnsi="Corbel"/>
        </w:rPr>
        <w:t xml:space="preserve">) je tehnika potrebna za mjerenje specijalizacije određene regije/lokalne jedinice u industriji. Industrijska kompozicija lokalne ekonomije može se bolje razumjeti usporedbom s drugim gradovima ili regijom u cjelini nego kada bi se ona promatrala u izolaciji. </w:t>
      </w:r>
      <w:r w:rsidRPr="001D6AD0">
        <w:rPr>
          <w:rFonts w:ascii="Corbel" w:hAnsi="Corbel" w:cs="Arial"/>
        </w:rPr>
        <w:t>Primjerice, ukoliko je 12% zaposlenih na određenom području zaposleno u metalnoj industriji, to nam ne govori ništa ukoliko taj podatak ne usporedi</w:t>
      </w:r>
      <w:r w:rsidR="00676E97" w:rsidRPr="001D6AD0">
        <w:rPr>
          <w:rFonts w:ascii="Corbel" w:hAnsi="Corbel" w:cs="Arial"/>
        </w:rPr>
        <w:t>mo s ostalim gradovima/regijama</w:t>
      </w:r>
      <w:r w:rsidRPr="001D6AD0">
        <w:rPr>
          <w:rFonts w:ascii="Corbel" w:hAnsi="Corbel" w:cs="Arial"/>
        </w:rPr>
        <w:t xml:space="preserve"> </w:t>
      </w:r>
      <w:sdt>
        <w:sdtPr>
          <w:rPr>
            <w:rFonts w:ascii="Corbel" w:hAnsi="Corbel" w:cs="Arial"/>
          </w:rPr>
          <w:id w:val="1925959"/>
          <w:citation/>
        </w:sdtPr>
        <w:sdtContent>
          <w:r w:rsidRPr="001D6AD0">
            <w:rPr>
              <w:rFonts w:ascii="Corbel" w:hAnsi="Corbel" w:cs="Arial"/>
            </w:rPr>
            <w:fldChar w:fldCharType="begin"/>
          </w:r>
          <w:r w:rsidRPr="001D6AD0">
            <w:rPr>
              <w:rFonts w:ascii="Corbel" w:hAnsi="Corbel" w:cs="Arial"/>
            </w:rPr>
            <w:instrText xml:space="preserve"> CITATION PBl95 \l 1050 </w:instrText>
          </w:r>
          <w:r w:rsidRPr="001D6AD0">
            <w:rPr>
              <w:rFonts w:ascii="Corbel" w:hAnsi="Corbel" w:cs="Arial"/>
            </w:rPr>
            <w:fldChar w:fldCharType="separate"/>
          </w:r>
          <w:r w:rsidRPr="001D6AD0">
            <w:rPr>
              <w:rFonts w:ascii="Corbel" w:hAnsi="Corbel" w:cs="Arial"/>
              <w:noProof/>
            </w:rPr>
            <w:t>(Blair, 1995)</w:t>
          </w:r>
          <w:r w:rsidRPr="001D6AD0">
            <w:rPr>
              <w:rFonts w:ascii="Corbel" w:hAnsi="Corbel" w:cs="Arial"/>
            </w:rPr>
            <w:fldChar w:fldCharType="end"/>
          </w:r>
        </w:sdtContent>
      </w:sdt>
      <w:r w:rsidRPr="001D6AD0">
        <w:rPr>
          <w:rFonts w:ascii="Corbel" w:hAnsi="Corbel" w:cs="Arial"/>
        </w:rPr>
        <w:t>. Lokacijski kvocijent najčešće se odnosi na zaposlenost i predstavlja omjer zaposlenih u jednoj industriji u odnosu na ukupan broj zaposlenih u toj regiji i broja zaposlenih u istoj industriji u široj jedinici</w:t>
      </w:r>
      <w:r w:rsidRPr="001D6AD0">
        <w:rPr>
          <w:rStyle w:val="Referencafusnote"/>
          <w:rFonts w:ascii="Corbel" w:hAnsi="Corbel" w:cs="Arial"/>
        </w:rPr>
        <w:footnoteReference w:id="7"/>
      </w:r>
      <w:r w:rsidRPr="001D6AD0">
        <w:rPr>
          <w:rFonts w:ascii="Corbel" w:hAnsi="Corbel" w:cs="Arial"/>
        </w:rPr>
        <w:t xml:space="preserve"> i ukupnog broja zaposlenih u toj jedinici. Prema tome, lokacijski kvocijent za industriju </w:t>
      </w:r>
      <w:r w:rsidRPr="001D6AD0">
        <w:rPr>
          <w:rFonts w:ascii="Corbel" w:hAnsi="Corbel" w:cs="Arial"/>
          <w:i/>
        </w:rPr>
        <w:t>i</w:t>
      </w:r>
      <w:r w:rsidRPr="001D6AD0">
        <w:rPr>
          <w:rFonts w:ascii="Corbel" w:hAnsi="Corbel" w:cs="Arial"/>
        </w:rPr>
        <w:t xml:space="preserve"> se uobičajeno izražava kao </w:t>
      </w:r>
      <w:sdt>
        <w:sdtPr>
          <w:rPr>
            <w:rFonts w:ascii="Corbel" w:hAnsi="Corbel" w:cs="Arial"/>
          </w:rPr>
          <w:id w:val="1925960"/>
          <w:citation/>
        </w:sdtPr>
        <w:sdtContent>
          <w:r w:rsidRPr="001D6AD0">
            <w:rPr>
              <w:rFonts w:ascii="Corbel" w:hAnsi="Corbel" w:cs="Arial"/>
            </w:rPr>
            <w:fldChar w:fldCharType="begin"/>
          </w:r>
          <w:r w:rsidRPr="001D6AD0">
            <w:rPr>
              <w:rFonts w:ascii="Corbel" w:hAnsi="Corbel" w:cs="Arial"/>
            </w:rPr>
            <w:instrText xml:space="preserve"> CITATION Placeholder1 \l 1050 </w:instrText>
          </w:r>
          <w:r w:rsidRPr="001D6AD0">
            <w:rPr>
              <w:rFonts w:ascii="Corbel" w:hAnsi="Corbel" w:cs="Arial"/>
            </w:rPr>
            <w:fldChar w:fldCharType="separate"/>
          </w:r>
          <w:r w:rsidRPr="001D6AD0">
            <w:rPr>
              <w:rFonts w:ascii="Corbel" w:hAnsi="Corbel" w:cs="Arial"/>
              <w:noProof/>
            </w:rPr>
            <w:t>(Mclean &amp; Voytek, Razumjevanje vaše ekonomije, 2009)</w:t>
          </w:r>
          <w:r w:rsidRPr="001D6AD0">
            <w:rPr>
              <w:rFonts w:ascii="Corbel" w:hAnsi="Corbel" w:cs="Arial"/>
            </w:rPr>
            <w:fldChar w:fldCharType="end"/>
          </w:r>
        </w:sdtContent>
      </w:sdt>
      <w:r w:rsidRPr="001D6AD0">
        <w:rPr>
          <w:rFonts w:ascii="Corbel" w:hAnsi="Corbel" w:cs="Arial"/>
        </w:rPr>
        <w:t>:</w:t>
      </w:r>
    </w:p>
    <w:p w:rsidR="000A0A74" w:rsidRPr="001D6AD0" w:rsidRDefault="000A0A74" w:rsidP="006146A7">
      <w:pPr>
        <w:spacing w:before="120" w:after="0" w:line="240" w:lineRule="auto"/>
        <w:ind w:left="708"/>
        <w:jc w:val="both"/>
        <w:rPr>
          <w:rFonts w:ascii="Corbel" w:eastAsiaTheme="minorEastAsia" w:hAnsi="Corbel" w:cs="Arial"/>
        </w:rPr>
      </w:pPr>
      <w:proofErr w:type="spellStart"/>
      <w:r w:rsidRPr="001D6AD0">
        <w:rPr>
          <w:rFonts w:ascii="Corbel" w:eastAsiaTheme="minorEastAsia" w:hAnsi="Corbel" w:cs="Arial"/>
        </w:rPr>
        <w:t>LQ</w:t>
      </w:r>
      <w:proofErr w:type="spellEnd"/>
      <w:r w:rsidRPr="001D6AD0">
        <w:rPr>
          <w:rFonts w:ascii="Corbel" w:eastAsiaTheme="minorEastAsia" w:hAnsi="Corbel" w:cs="Arial"/>
        </w:rPr>
        <w:t xml:space="preserve"> = (</w:t>
      </w:r>
      <w:proofErr w:type="spellStart"/>
      <w:r w:rsidRPr="001D6AD0">
        <w:rPr>
          <w:rFonts w:ascii="Corbel" w:eastAsiaTheme="minorEastAsia" w:hAnsi="Corbel" w:cs="Arial"/>
        </w:rPr>
        <w:t>ei</w:t>
      </w:r>
      <w:proofErr w:type="spellEnd"/>
      <w:r w:rsidRPr="001D6AD0">
        <w:rPr>
          <w:rFonts w:ascii="Corbel" w:eastAsiaTheme="minorEastAsia" w:hAnsi="Corbel" w:cs="Arial"/>
        </w:rPr>
        <w:t>/e) / (</w:t>
      </w:r>
      <w:proofErr w:type="spellStart"/>
      <w:r w:rsidRPr="001D6AD0">
        <w:rPr>
          <w:rFonts w:ascii="Corbel" w:eastAsiaTheme="minorEastAsia" w:hAnsi="Corbel" w:cs="Arial"/>
        </w:rPr>
        <w:t>Ei</w:t>
      </w:r>
      <w:proofErr w:type="spellEnd"/>
      <w:r w:rsidRPr="001D6AD0">
        <w:rPr>
          <w:rFonts w:ascii="Corbel" w:eastAsiaTheme="minorEastAsia" w:hAnsi="Corbel" w:cs="Arial"/>
        </w:rPr>
        <w:t>/E)</w:t>
      </w:r>
    </w:p>
    <w:p w:rsidR="000A0A74" w:rsidRPr="001D6AD0" w:rsidRDefault="000A0A74" w:rsidP="006146A7">
      <w:pPr>
        <w:spacing w:after="0" w:line="240" w:lineRule="auto"/>
        <w:ind w:left="708"/>
        <w:jc w:val="both"/>
        <w:rPr>
          <w:rFonts w:ascii="Corbel" w:hAnsi="Corbel" w:cs="Arial"/>
        </w:rPr>
      </w:pPr>
      <w:proofErr w:type="spellStart"/>
      <w:r w:rsidRPr="001D6AD0">
        <w:rPr>
          <w:rFonts w:ascii="Corbel" w:eastAsiaTheme="minorEastAsia" w:hAnsi="Corbel" w:cs="Arial"/>
        </w:rPr>
        <w:t>e</w:t>
      </w:r>
      <w:r w:rsidRPr="001D6AD0">
        <w:rPr>
          <w:rFonts w:ascii="Corbel" w:eastAsiaTheme="minorEastAsia" w:hAnsi="Corbel" w:cs="Arial"/>
          <w:i/>
        </w:rPr>
        <w:t>i</w:t>
      </w:r>
      <w:proofErr w:type="spellEnd"/>
      <w:r w:rsidRPr="001D6AD0">
        <w:rPr>
          <w:rFonts w:ascii="Corbel" w:eastAsiaTheme="minorEastAsia" w:hAnsi="Corbel" w:cs="Arial"/>
          <w:i/>
        </w:rPr>
        <w:t xml:space="preserve">= </w:t>
      </w:r>
      <w:r w:rsidRPr="001D6AD0">
        <w:rPr>
          <w:rFonts w:ascii="Corbel" w:hAnsi="Corbel" w:cs="Arial"/>
        </w:rPr>
        <w:t>lokalna zaposlenost u djelatnosti</w:t>
      </w:r>
      <w:r w:rsidRPr="001D6AD0">
        <w:rPr>
          <w:rFonts w:ascii="Corbel" w:hAnsi="Corbel" w:cs="Arial"/>
          <w:i/>
        </w:rPr>
        <w:t xml:space="preserve"> i</w:t>
      </w:r>
    </w:p>
    <w:p w:rsidR="000A0A74" w:rsidRPr="001D6AD0" w:rsidRDefault="000A0A74" w:rsidP="006146A7">
      <w:pPr>
        <w:spacing w:after="0" w:line="240" w:lineRule="auto"/>
        <w:ind w:left="708"/>
        <w:jc w:val="both"/>
        <w:rPr>
          <w:rFonts w:ascii="Corbel" w:hAnsi="Corbel" w:cs="Arial"/>
        </w:rPr>
      </w:pPr>
      <w:r w:rsidRPr="001D6AD0">
        <w:rPr>
          <w:rFonts w:ascii="Corbel" w:hAnsi="Corbel" w:cs="Arial"/>
        </w:rPr>
        <w:t>e</w:t>
      </w:r>
      <w:r w:rsidRPr="001D6AD0">
        <w:rPr>
          <w:rFonts w:ascii="Corbel" w:hAnsi="Corbel" w:cs="Arial"/>
          <w:vertAlign w:val="subscript"/>
        </w:rPr>
        <w:t xml:space="preserve"> </w:t>
      </w:r>
      <w:r w:rsidRPr="001D6AD0">
        <w:rPr>
          <w:rFonts w:ascii="Corbel" w:hAnsi="Corbel" w:cs="Arial"/>
        </w:rPr>
        <w:t>= ukupna lokalna zaposlenost</w:t>
      </w:r>
    </w:p>
    <w:p w:rsidR="000A0A74" w:rsidRPr="001D6AD0" w:rsidRDefault="000A0A74" w:rsidP="006146A7">
      <w:pPr>
        <w:spacing w:after="0" w:line="240" w:lineRule="auto"/>
        <w:ind w:left="708"/>
        <w:jc w:val="both"/>
        <w:rPr>
          <w:rFonts w:ascii="Corbel" w:hAnsi="Corbel" w:cs="Arial"/>
        </w:rPr>
      </w:pPr>
      <w:proofErr w:type="spellStart"/>
      <w:r w:rsidRPr="001D6AD0">
        <w:rPr>
          <w:rFonts w:ascii="Corbel" w:hAnsi="Corbel" w:cs="Arial"/>
        </w:rPr>
        <w:t>E</w:t>
      </w:r>
      <w:r w:rsidRPr="001D6AD0">
        <w:rPr>
          <w:rFonts w:ascii="Corbel" w:hAnsi="Corbel" w:cs="Arial"/>
          <w:i/>
        </w:rPr>
        <w:t>i</w:t>
      </w:r>
      <w:proofErr w:type="spellEnd"/>
      <w:r w:rsidRPr="001D6AD0">
        <w:rPr>
          <w:rFonts w:ascii="Corbel" w:hAnsi="Corbel" w:cs="Arial"/>
        </w:rPr>
        <w:t xml:space="preserve"> = zaposlenost u cijeloj zemlji u djelatnosti </w:t>
      </w:r>
      <w:r w:rsidRPr="001D6AD0">
        <w:rPr>
          <w:rFonts w:ascii="Corbel" w:hAnsi="Corbel" w:cs="Arial"/>
          <w:i/>
        </w:rPr>
        <w:t>i</w:t>
      </w:r>
    </w:p>
    <w:p w:rsidR="000A0A74" w:rsidRPr="001D6AD0" w:rsidRDefault="000A0A74" w:rsidP="006146A7">
      <w:pPr>
        <w:spacing w:after="120" w:line="240" w:lineRule="auto"/>
        <w:ind w:left="708"/>
        <w:jc w:val="both"/>
        <w:rPr>
          <w:rFonts w:ascii="Corbel" w:hAnsi="Corbel" w:cs="Arial"/>
        </w:rPr>
      </w:pPr>
      <w:r w:rsidRPr="001D6AD0">
        <w:rPr>
          <w:rFonts w:ascii="Corbel" w:hAnsi="Corbel" w:cs="Arial"/>
        </w:rPr>
        <w:t>E = ukupan broj zaposlenih u cijeloj zemlji</w:t>
      </w:r>
    </w:p>
    <w:p w:rsidR="00C13281" w:rsidRPr="001D6AD0" w:rsidRDefault="000A0A74" w:rsidP="001A390C">
      <w:pPr>
        <w:spacing w:after="0" w:line="240" w:lineRule="auto"/>
        <w:jc w:val="both"/>
        <w:rPr>
          <w:rFonts w:ascii="Corbel" w:hAnsi="Corbel" w:cs="Arial"/>
        </w:rPr>
      </w:pPr>
      <w:r w:rsidRPr="001D6AD0">
        <w:rPr>
          <w:rFonts w:ascii="Corbel" w:hAnsi="Corbel" w:cs="Arial"/>
        </w:rPr>
        <w:t xml:space="preserve">Kvocijenti mogu varirati među regijama upravo zbog razlika u proizvodnji i potrošni. Kada je </w:t>
      </w:r>
      <w:proofErr w:type="spellStart"/>
      <w:r w:rsidRPr="001D6AD0">
        <w:rPr>
          <w:rFonts w:ascii="Corbel" w:hAnsi="Corbel" w:cs="Arial"/>
        </w:rPr>
        <w:t>LQ</w:t>
      </w:r>
      <w:proofErr w:type="spellEnd"/>
      <w:r w:rsidRPr="001D6AD0">
        <w:rPr>
          <w:rFonts w:ascii="Corbel" w:hAnsi="Corbel" w:cs="Arial"/>
        </w:rPr>
        <w:t xml:space="preserve">=1 onda regija ima isti postotak zaposlenih u određenoj industriji kao i nacionalno. Kada je </w:t>
      </w:r>
      <w:proofErr w:type="spellStart"/>
      <w:r w:rsidRPr="001D6AD0">
        <w:rPr>
          <w:rFonts w:ascii="Corbel" w:hAnsi="Corbel" w:cs="Arial"/>
        </w:rPr>
        <w:t>LQ</w:t>
      </w:r>
      <w:proofErr w:type="spellEnd"/>
      <w:r w:rsidRPr="001D6AD0">
        <w:rPr>
          <w:rFonts w:ascii="Corbel" w:hAnsi="Corbel" w:cs="Arial"/>
        </w:rPr>
        <w:t xml:space="preserve">&lt;1 onda je postotak zaposlenih unutar regije u određenoj industriji manji od nacionalnog prosjeka u istoj industriji, a kada je </w:t>
      </w:r>
      <w:proofErr w:type="spellStart"/>
      <w:r w:rsidRPr="001D6AD0">
        <w:rPr>
          <w:rFonts w:ascii="Corbel" w:hAnsi="Corbel" w:cs="Arial"/>
        </w:rPr>
        <w:t>LQ</w:t>
      </w:r>
      <w:proofErr w:type="spellEnd"/>
      <w:r w:rsidRPr="001D6AD0">
        <w:rPr>
          <w:rFonts w:ascii="Corbel" w:hAnsi="Corbel" w:cs="Arial"/>
        </w:rPr>
        <w:t xml:space="preserve">&gt;1 onda je postotak zaposlenih unutar regije u određenoj industriji veći od nacionalnog prosjeka u istoj industriji. </w:t>
      </w:r>
      <w:r w:rsidRPr="001D6AD0">
        <w:rPr>
          <w:rFonts w:ascii="Corbel" w:hAnsi="Corbel" w:cs="Arial"/>
          <w:b/>
        </w:rPr>
        <w:t>Lokacijski kvocijenti korisni su za identifikaciju industrija u kojima regija ima disproporcionalnu razinu zaposlenosti što se često može dovesti u vezu s trenutnom ili povijesnom lokacijskom prednošću</w:t>
      </w:r>
      <w:r w:rsidRPr="001D6AD0">
        <w:rPr>
          <w:rFonts w:ascii="Corbel" w:hAnsi="Corbel" w:cs="Arial"/>
        </w:rPr>
        <w:t>.</w:t>
      </w:r>
    </w:p>
    <w:p w:rsidR="00362A5C" w:rsidRPr="001D6AD0" w:rsidRDefault="00157658" w:rsidP="00CC48D9">
      <w:pPr>
        <w:spacing w:before="120"/>
        <w:jc w:val="both"/>
        <w:rPr>
          <w:rFonts w:ascii="Corbel" w:hAnsi="Corbel" w:cs="Arial"/>
        </w:rPr>
      </w:pPr>
      <w:r w:rsidRPr="001D6AD0">
        <w:rPr>
          <w:rFonts w:ascii="Corbel" w:hAnsi="Corbel" w:cs="Arial"/>
        </w:rPr>
        <w:lastRenderedPageBreak/>
        <w:t>Na</w:t>
      </w:r>
      <w:r w:rsidR="00B26235" w:rsidRPr="001D6AD0">
        <w:rPr>
          <w:rFonts w:ascii="Corbel" w:hAnsi="Corbel" w:cs="Arial"/>
        </w:rPr>
        <w:t xml:space="preserve"> sljedećoj </w:t>
      </w:r>
      <w:r w:rsidRPr="001D6AD0">
        <w:rPr>
          <w:rFonts w:ascii="Corbel" w:hAnsi="Corbel" w:cs="Arial"/>
        </w:rPr>
        <w:t>slici</w:t>
      </w:r>
      <w:r w:rsidR="00B26235" w:rsidRPr="001D6AD0">
        <w:rPr>
          <w:rFonts w:ascii="Corbel" w:hAnsi="Corbel" w:cs="Arial"/>
        </w:rPr>
        <w:t xml:space="preserve"> predstavljeni su podaci o ukupnom broju zaposlenih u pravnim osobama u RH i </w:t>
      </w:r>
      <w:r w:rsidR="00E721E3" w:rsidRPr="001D6AD0">
        <w:rPr>
          <w:rFonts w:ascii="Corbel" w:hAnsi="Corbel" w:cs="Arial"/>
        </w:rPr>
        <w:t>gradu Zadru</w:t>
      </w:r>
      <w:r w:rsidR="00B26235" w:rsidRPr="001D6AD0">
        <w:rPr>
          <w:rFonts w:ascii="Corbel" w:hAnsi="Corbel" w:cs="Arial"/>
        </w:rPr>
        <w:t xml:space="preserve">  na dan 31.3.2011. po djelatnostima, NKD 2007</w:t>
      </w:r>
      <w:r w:rsidRPr="001D6AD0">
        <w:rPr>
          <w:rFonts w:ascii="Corbel" w:hAnsi="Corbel" w:cs="Arial"/>
        </w:rPr>
        <w:t>.</w:t>
      </w:r>
      <w:r w:rsidR="00362A5C" w:rsidRPr="001D6AD0">
        <w:rPr>
          <w:rFonts w:ascii="Corbel" w:hAnsi="Corbel" w:cs="Arial"/>
        </w:rPr>
        <w:t xml:space="preserve"> Također, prikazani su podaci za Istru koja je uzeta kao </w:t>
      </w:r>
      <w:r w:rsidR="00E60A5E">
        <w:rPr>
          <w:rFonts w:ascii="Corbel" w:hAnsi="Corbel" w:cs="Arial"/>
        </w:rPr>
        <w:t>referentni okvir</w:t>
      </w:r>
      <w:r w:rsidR="00362A5C" w:rsidRPr="001D6AD0">
        <w:rPr>
          <w:rFonts w:ascii="Corbel" w:hAnsi="Corbel" w:cs="Arial"/>
        </w:rPr>
        <w:t xml:space="preserve">. Istarska županija ima donekle slične razvojne preduvjete Zadru i Zadarskoj županiji pa zato može bolje poslužiti za usporedbu od nacionalnog prosjeka. </w:t>
      </w:r>
    </w:p>
    <w:p w:rsidR="00157658" w:rsidRPr="001D6AD0" w:rsidRDefault="00157658" w:rsidP="00CC48D9">
      <w:pPr>
        <w:spacing w:before="120"/>
        <w:jc w:val="both"/>
        <w:rPr>
          <w:rFonts w:ascii="Corbel" w:hAnsi="Corbel" w:cs="Arial"/>
        </w:rPr>
      </w:pPr>
      <w:r w:rsidRPr="001D6AD0">
        <w:rPr>
          <w:rFonts w:ascii="Corbel" w:hAnsi="Corbel" w:cs="Arial"/>
        </w:rPr>
        <w:t xml:space="preserve">Iz </w:t>
      </w:r>
      <w:r w:rsidR="00ED0EF7" w:rsidRPr="001D6AD0">
        <w:rPr>
          <w:rFonts w:ascii="Corbel" w:hAnsi="Corbel" w:cs="Arial"/>
        </w:rPr>
        <w:t>slike</w:t>
      </w:r>
      <w:r w:rsidRPr="001D6AD0">
        <w:rPr>
          <w:rFonts w:ascii="Corbel" w:hAnsi="Corbel" w:cs="Arial"/>
        </w:rPr>
        <w:t xml:space="preserve"> možemo vidjeti kako </w:t>
      </w:r>
      <w:r w:rsidRPr="001D6AD0">
        <w:rPr>
          <w:rFonts w:ascii="Corbel" w:hAnsi="Corbel" w:cs="Arial"/>
          <w:b/>
        </w:rPr>
        <w:t>grad Zadar u odnosu na nacionalni prosjek zaposlenosti, prednjači u sektorima</w:t>
      </w:r>
      <w:r w:rsidRPr="001D6AD0">
        <w:rPr>
          <w:rFonts w:ascii="Corbel" w:hAnsi="Corbel" w:cs="Arial"/>
        </w:rPr>
        <w:t>:</w:t>
      </w:r>
    </w:p>
    <w:p w:rsidR="00157658" w:rsidRPr="001D6AD0" w:rsidRDefault="006257EA" w:rsidP="00157658">
      <w:pPr>
        <w:pStyle w:val="Odlomakpopisa"/>
        <w:numPr>
          <w:ilvl w:val="0"/>
          <w:numId w:val="11"/>
        </w:numPr>
        <w:jc w:val="both"/>
        <w:rPr>
          <w:rFonts w:ascii="Corbel" w:hAnsi="Corbel" w:cs="Arial"/>
          <w:b/>
        </w:rPr>
      </w:pPr>
      <w:r w:rsidRPr="001D6AD0">
        <w:rPr>
          <w:rFonts w:ascii="Corbel" w:hAnsi="Corbel" w:cs="Arial"/>
        </w:rPr>
        <w:t xml:space="preserve">(E) </w:t>
      </w:r>
      <w:r w:rsidR="00157658" w:rsidRPr="001D6AD0">
        <w:rPr>
          <w:rFonts w:ascii="Corbel" w:hAnsi="Corbel" w:cs="Arial"/>
        </w:rPr>
        <w:t>Opskrba vodom; uklanjanje otpadnih voda, gospodarenje otpadom te djelatnosti sanacije okoliša</w:t>
      </w:r>
      <w:r w:rsidR="00157658" w:rsidRPr="001D6AD0">
        <w:rPr>
          <w:rStyle w:val="Referencafusnote"/>
          <w:rFonts w:ascii="Corbel" w:hAnsi="Corbel" w:cs="Arial"/>
          <w:b/>
        </w:rPr>
        <w:footnoteReference w:id="8"/>
      </w:r>
    </w:p>
    <w:p w:rsidR="00157658" w:rsidRPr="001D6AD0" w:rsidRDefault="006257EA" w:rsidP="00157658">
      <w:pPr>
        <w:pStyle w:val="Odlomakpopisa"/>
        <w:numPr>
          <w:ilvl w:val="0"/>
          <w:numId w:val="11"/>
        </w:numPr>
        <w:jc w:val="both"/>
        <w:rPr>
          <w:rFonts w:ascii="Corbel" w:hAnsi="Corbel" w:cs="Arial"/>
          <w:b/>
        </w:rPr>
      </w:pPr>
      <w:r w:rsidRPr="001D6AD0">
        <w:rPr>
          <w:rFonts w:ascii="Corbel" w:hAnsi="Corbel" w:cs="Arial"/>
          <w:b/>
        </w:rPr>
        <w:t xml:space="preserve">(G) </w:t>
      </w:r>
      <w:r w:rsidR="00157658" w:rsidRPr="001D6AD0">
        <w:rPr>
          <w:rFonts w:ascii="Corbel" w:hAnsi="Corbel" w:cs="Arial"/>
          <w:b/>
        </w:rPr>
        <w:t>Trgovina na veliko i na malo; popravak motornih vozila i motocikala</w:t>
      </w:r>
    </w:p>
    <w:p w:rsidR="00157658" w:rsidRPr="001D6AD0" w:rsidRDefault="006257EA" w:rsidP="00157658">
      <w:pPr>
        <w:pStyle w:val="Odlomakpopisa"/>
        <w:numPr>
          <w:ilvl w:val="0"/>
          <w:numId w:val="11"/>
        </w:numPr>
        <w:jc w:val="both"/>
        <w:rPr>
          <w:rFonts w:ascii="Corbel" w:hAnsi="Corbel" w:cs="Arial"/>
          <w:b/>
        </w:rPr>
      </w:pPr>
      <w:r w:rsidRPr="001D6AD0">
        <w:rPr>
          <w:rFonts w:ascii="Corbel" w:hAnsi="Corbel" w:cs="Arial"/>
          <w:b/>
        </w:rPr>
        <w:t xml:space="preserve">(H) </w:t>
      </w:r>
      <w:r w:rsidR="00157658" w:rsidRPr="001D6AD0">
        <w:rPr>
          <w:rFonts w:ascii="Corbel" w:hAnsi="Corbel" w:cs="Arial"/>
          <w:b/>
        </w:rPr>
        <w:t>Prijevoz i skladištenje</w:t>
      </w:r>
    </w:p>
    <w:p w:rsidR="00157658" w:rsidRPr="001D6AD0" w:rsidRDefault="006257EA" w:rsidP="00157658">
      <w:pPr>
        <w:pStyle w:val="Odlomakpopisa"/>
        <w:numPr>
          <w:ilvl w:val="0"/>
          <w:numId w:val="11"/>
        </w:numPr>
        <w:jc w:val="both"/>
        <w:rPr>
          <w:rFonts w:ascii="Corbel" w:hAnsi="Corbel" w:cs="Arial"/>
          <w:b/>
        </w:rPr>
      </w:pPr>
      <w:r w:rsidRPr="001D6AD0">
        <w:rPr>
          <w:rFonts w:ascii="Corbel" w:hAnsi="Corbel" w:cs="Arial"/>
          <w:b/>
        </w:rPr>
        <w:t xml:space="preserve">(I) </w:t>
      </w:r>
      <w:r w:rsidR="00157658" w:rsidRPr="001D6AD0">
        <w:rPr>
          <w:rFonts w:ascii="Corbel" w:hAnsi="Corbel" w:cs="Arial"/>
          <w:b/>
        </w:rPr>
        <w:t>Djelatnosti pružanja smještaja te pripreme i usluživanja hrane</w:t>
      </w:r>
    </w:p>
    <w:p w:rsidR="00157658" w:rsidRPr="001D6AD0" w:rsidRDefault="006257EA" w:rsidP="00157658">
      <w:pPr>
        <w:pStyle w:val="Odlomakpopisa"/>
        <w:numPr>
          <w:ilvl w:val="0"/>
          <w:numId w:val="11"/>
        </w:numPr>
        <w:jc w:val="both"/>
        <w:rPr>
          <w:rFonts w:ascii="Corbel" w:hAnsi="Corbel" w:cs="Arial"/>
          <w:b/>
        </w:rPr>
      </w:pPr>
      <w:r w:rsidRPr="001D6AD0">
        <w:rPr>
          <w:rFonts w:ascii="Corbel" w:hAnsi="Corbel" w:cs="Arial"/>
          <w:b/>
        </w:rPr>
        <w:t xml:space="preserve">(K) </w:t>
      </w:r>
      <w:r w:rsidR="00157658" w:rsidRPr="001D6AD0">
        <w:rPr>
          <w:rFonts w:ascii="Corbel" w:hAnsi="Corbel" w:cs="Arial"/>
          <w:b/>
        </w:rPr>
        <w:t>Financijske djelatnosti i djelatnosti osiguranja</w:t>
      </w:r>
    </w:p>
    <w:p w:rsidR="00157658" w:rsidRPr="001D6AD0" w:rsidRDefault="006257EA" w:rsidP="00157658">
      <w:pPr>
        <w:pStyle w:val="Odlomakpopisa"/>
        <w:numPr>
          <w:ilvl w:val="0"/>
          <w:numId w:val="11"/>
        </w:numPr>
        <w:jc w:val="both"/>
        <w:rPr>
          <w:rFonts w:ascii="Corbel" w:hAnsi="Corbel" w:cs="Arial"/>
          <w:b/>
        </w:rPr>
      </w:pPr>
      <w:r w:rsidRPr="001D6AD0">
        <w:rPr>
          <w:rFonts w:ascii="Corbel" w:hAnsi="Corbel" w:cs="Arial"/>
          <w:b/>
        </w:rPr>
        <w:t xml:space="preserve">(N) </w:t>
      </w:r>
      <w:r w:rsidR="00157658" w:rsidRPr="001D6AD0">
        <w:rPr>
          <w:rFonts w:ascii="Corbel" w:hAnsi="Corbel" w:cs="Arial"/>
          <w:b/>
        </w:rPr>
        <w:t>Administrativne i pomoćne uslužne djelatnosti</w:t>
      </w:r>
    </w:p>
    <w:p w:rsidR="00157658" w:rsidRPr="001D6AD0" w:rsidRDefault="006257EA" w:rsidP="00157658">
      <w:pPr>
        <w:pStyle w:val="Odlomakpopisa"/>
        <w:numPr>
          <w:ilvl w:val="0"/>
          <w:numId w:val="11"/>
        </w:numPr>
        <w:jc w:val="both"/>
        <w:rPr>
          <w:rFonts w:ascii="Corbel" w:hAnsi="Corbel" w:cs="Arial"/>
        </w:rPr>
      </w:pPr>
      <w:r w:rsidRPr="001D6AD0">
        <w:rPr>
          <w:rFonts w:ascii="Corbel" w:hAnsi="Corbel" w:cs="Arial"/>
        </w:rPr>
        <w:t xml:space="preserve">(O) </w:t>
      </w:r>
      <w:r w:rsidR="00157658" w:rsidRPr="001D6AD0">
        <w:rPr>
          <w:rFonts w:ascii="Corbel" w:hAnsi="Corbel" w:cs="Arial"/>
        </w:rPr>
        <w:t>Javna uprava i obrana; obvezno socijalno osiguranje</w:t>
      </w:r>
    </w:p>
    <w:p w:rsidR="00157658" w:rsidRPr="001D6AD0" w:rsidRDefault="00C71A4F" w:rsidP="00157658">
      <w:pPr>
        <w:pStyle w:val="Odlomakpopisa"/>
        <w:numPr>
          <w:ilvl w:val="0"/>
          <w:numId w:val="11"/>
        </w:numPr>
        <w:jc w:val="both"/>
        <w:rPr>
          <w:rFonts w:ascii="Corbel" w:hAnsi="Corbel" w:cs="Arial"/>
        </w:rPr>
      </w:pPr>
      <w:r w:rsidRPr="001D6AD0">
        <w:rPr>
          <w:rFonts w:ascii="Corbel" w:hAnsi="Corbel" w:cs="Arial"/>
        </w:rPr>
        <w:t xml:space="preserve">(P) </w:t>
      </w:r>
      <w:r w:rsidR="00157658" w:rsidRPr="001D6AD0">
        <w:rPr>
          <w:rFonts w:ascii="Corbel" w:hAnsi="Corbel" w:cs="Arial"/>
        </w:rPr>
        <w:t>Obrazovanje</w:t>
      </w:r>
    </w:p>
    <w:p w:rsidR="00157658" w:rsidRPr="001D6AD0" w:rsidRDefault="00C71A4F" w:rsidP="00157658">
      <w:pPr>
        <w:pStyle w:val="Odlomakpopisa"/>
        <w:numPr>
          <w:ilvl w:val="0"/>
          <w:numId w:val="11"/>
        </w:numPr>
        <w:jc w:val="both"/>
        <w:rPr>
          <w:rFonts w:ascii="Corbel" w:hAnsi="Corbel" w:cs="Arial"/>
        </w:rPr>
      </w:pPr>
      <w:r w:rsidRPr="001D6AD0">
        <w:rPr>
          <w:rFonts w:ascii="Corbel" w:hAnsi="Corbel" w:cs="Arial"/>
        </w:rPr>
        <w:t xml:space="preserve">(Q) </w:t>
      </w:r>
      <w:r w:rsidR="00157658" w:rsidRPr="001D6AD0">
        <w:rPr>
          <w:rFonts w:ascii="Corbel" w:hAnsi="Corbel" w:cs="Arial"/>
        </w:rPr>
        <w:t>Djelatnosti zdravstvene zaštite i socijalne skrbi</w:t>
      </w:r>
    </w:p>
    <w:p w:rsidR="00157658" w:rsidRPr="001D6AD0" w:rsidRDefault="00C71A4F" w:rsidP="00157658">
      <w:pPr>
        <w:pStyle w:val="Odlomakpopisa"/>
        <w:numPr>
          <w:ilvl w:val="0"/>
          <w:numId w:val="11"/>
        </w:numPr>
        <w:jc w:val="both"/>
        <w:rPr>
          <w:rFonts w:ascii="Corbel" w:hAnsi="Corbel" w:cs="Arial"/>
        </w:rPr>
      </w:pPr>
      <w:r w:rsidRPr="001D6AD0">
        <w:rPr>
          <w:rFonts w:ascii="Corbel" w:hAnsi="Corbel" w:cs="Arial"/>
        </w:rPr>
        <w:t xml:space="preserve">(R) </w:t>
      </w:r>
      <w:r w:rsidR="00157658" w:rsidRPr="001D6AD0">
        <w:rPr>
          <w:rFonts w:ascii="Corbel" w:hAnsi="Corbel" w:cs="Arial"/>
        </w:rPr>
        <w:t>Umjetnost, zabava i rekreacija</w:t>
      </w:r>
      <w:r w:rsidR="006C4B11" w:rsidRPr="001D6AD0">
        <w:rPr>
          <w:rStyle w:val="Referencafusnote"/>
          <w:rFonts w:ascii="Corbel" w:hAnsi="Corbel" w:cs="Arial"/>
        </w:rPr>
        <w:footnoteReference w:id="9"/>
      </w:r>
    </w:p>
    <w:p w:rsidR="00682786" w:rsidRPr="001D6AD0" w:rsidRDefault="00177594" w:rsidP="00682786">
      <w:pPr>
        <w:jc w:val="both"/>
        <w:rPr>
          <w:rFonts w:ascii="Corbel" w:hAnsi="Corbel" w:cs="Arial"/>
        </w:rPr>
      </w:pPr>
      <w:r w:rsidRPr="001D6AD0">
        <w:rPr>
          <w:rFonts w:ascii="Corbel" w:hAnsi="Corbel" w:cs="Arial"/>
        </w:rPr>
        <w:t>Podebljano su označene djelatnosti koje nisu</w:t>
      </w:r>
      <w:r w:rsidR="00682786" w:rsidRPr="001D6AD0">
        <w:rPr>
          <w:rFonts w:ascii="Corbel" w:hAnsi="Corbel" w:cs="Arial"/>
        </w:rPr>
        <w:t xml:space="preserve"> direktno</w:t>
      </w:r>
      <w:r w:rsidR="00A14D4B" w:rsidRPr="001D6AD0">
        <w:rPr>
          <w:rFonts w:ascii="Corbel" w:hAnsi="Corbel" w:cs="Arial"/>
        </w:rPr>
        <w:t xml:space="preserve"> vezane uz javni</w:t>
      </w:r>
      <w:r w:rsidRPr="001D6AD0">
        <w:rPr>
          <w:rFonts w:ascii="Corbel" w:hAnsi="Corbel" w:cs="Arial"/>
        </w:rPr>
        <w:t xml:space="preserve"> </w:t>
      </w:r>
      <w:r w:rsidR="00A14D4B" w:rsidRPr="001D6AD0">
        <w:rPr>
          <w:rFonts w:ascii="Corbel" w:hAnsi="Corbel" w:cs="Arial"/>
        </w:rPr>
        <w:t>sektor</w:t>
      </w:r>
      <w:r w:rsidRPr="001D6AD0">
        <w:rPr>
          <w:rFonts w:ascii="Corbel" w:hAnsi="Corbel" w:cs="Arial"/>
        </w:rPr>
        <w:t xml:space="preserve">, iz čega je vidljivo kako se Zadar u odnosu na RH  specijalizirao u </w:t>
      </w:r>
      <w:r w:rsidR="0074490A">
        <w:rPr>
          <w:rFonts w:ascii="Corbel" w:hAnsi="Corbel" w:cs="Arial"/>
        </w:rPr>
        <w:t>5</w:t>
      </w:r>
      <w:r w:rsidRPr="001D6AD0">
        <w:rPr>
          <w:rFonts w:ascii="Corbel" w:hAnsi="Corbel" w:cs="Arial"/>
        </w:rPr>
        <w:t xml:space="preserve"> djelatnosti, </w:t>
      </w:r>
      <w:r w:rsidRPr="001D6AD0">
        <w:rPr>
          <w:rFonts w:ascii="Corbel" w:hAnsi="Corbel" w:cs="Arial"/>
          <w:b/>
          <w:u w:val="single"/>
        </w:rPr>
        <w:t>od kojih se ni jedna ne može okarakterizirati kao proizvodna djelatnost</w:t>
      </w:r>
      <w:r w:rsidR="00682786" w:rsidRPr="001D6AD0">
        <w:rPr>
          <w:rFonts w:ascii="Corbel" w:hAnsi="Corbel" w:cs="Arial"/>
        </w:rPr>
        <w:t xml:space="preserve">. Dakle, lokacijski kvocijent </w:t>
      </w:r>
      <w:r w:rsidR="00682786" w:rsidRPr="001D6AD0">
        <w:rPr>
          <w:rFonts w:ascii="Corbel" w:hAnsi="Corbel" w:cs="Arial"/>
          <w:b/>
        </w:rPr>
        <w:t>otkriva jakosti Zadra u mnogim tipovima ne proizvodnih aktivnosti</w:t>
      </w:r>
      <w:r w:rsidR="00682786" w:rsidRPr="001D6AD0">
        <w:rPr>
          <w:rFonts w:ascii="Corbel" w:hAnsi="Corbel" w:cs="Arial"/>
        </w:rPr>
        <w:t xml:space="preserve">, </w:t>
      </w:r>
      <w:r w:rsidR="00682786" w:rsidRPr="001D6AD0">
        <w:rPr>
          <w:rFonts w:ascii="Corbel" w:hAnsi="Corbel" w:cs="Arial"/>
          <w:b/>
        </w:rPr>
        <w:t xml:space="preserve">posebno u </w:t>
      </w:r>
      <w:r w:rsidR="00A333AA">
        <w:rPr>
          <w:rFonts w:ascii="Corbel" w:hAnsi="Corbel" w:cs="Arial"/>
          <w:b/>
        </w:rPr>
        <w:t>pomoćno uslužnim</w:t>
      </w:r>
      <w:r w:rsidR="00682786" w:rsidRPr="001D6AD0">
        <w:rPr>
          <w:rFonts w:ascii="Corbel" w:hAnsi="Corbel" w:cs="Arial"/>
          <w:b/>
        </w:rPr>
        <w:t>, trgovačkim,</w:t>
      </w:r>
      <w:r w:rsidR="0074490A">
        <w:rPr>
          <w:rFonts w:ascii="Corbel" w:hAnsi="Corbel" w:cs="Arial"/>
          <w:b/>
        </w:rPr>
        <w:t xml:space="preserve"> smještajno-ugostiteljskim,</w:t>
      </w:r>
      <w:r w:rsidR="00682786" w:rsidRPr="001D6AD0">
        <w:rPr>
          <w:rFonts w:ascii="Corbel" w:hAnsi="Corbel" w:cs="Arial"/>
          <w:b/>
        </w:rPr>
        <w:t xml:space="preserve"> financijskim i </w:t>
      </w:r>
      <w:r w:rsidR="00A333AA">
        <w:rPr>
          <w:rFonts w:ascii="Corbel" w:hAnsi="Corbel" w:cs="Arial"/>
          <w:b/>
        </w:rPr>
        <w:t>prijevozničkim</w:t>
      </w:r>
      <w:r w:rsidR="00682786" w:rsidRPr="001D6AD0">
        <w:rPr>
          <w:rFonts w:ascii="Corbel" w:hAnsi="Corbel" w:cs="Arial"/>
          <w:b/>
        </w:rPr>
        <w:t xml:space="preserve"> aktivnostima</w:t>
      </w:r>
      <w:r w:rsidR="00682786" w:rsidRPr="001D6AD0">
        <w:rPr>
          <w:rFonts w:ascii="Corbel" w:hAnsi="Corbel" w:cs="Arial"/>
        </w:rPr>
        <w:t xml:space="preserve">. </w:t>
      </w:r>
    </w:p>
    <w:p w:rsidR="00177594" w:rsidRPr="001D6AD0" w:rsidRDefault="00177594" w:rsidP="00177594">
      <w:pPr>
        <w:jc w:val="both"/>
        <w:rPr>
          <w:rFonts w:ascii="Corbel" w:hAnsi="Corbel" w:cs="Arial"/>
        </w:rPr>
      </w:pPr>
      <w:r w:rsidRPr="001D6AD0">
        <w:rPr>
          <w:rFonts w:ascii="Corbel" w:hAnsi="Corbel" w:cs="Arial"/>
        </w:rPr>
        <w:t xml:space="preserve">Analiza kvocijenta lokacije potvrđuje prethodne zaključke kojima se pokazalo </w:t>
      </w:r>
      <w:r w:rsidRPr="001D6AD0">
        <w:rPr>
          <w:rFonts w:ascii="Corbel" w:hAnsi="Corbel" w:cs="Arial"/>
          <w:b/>
        </w:rPr>
        <w:t xml:space="preserve">da Zadar sa svojih </w:t>
      </w:r>
      <w:r w:rsidR="00DB2084" w:rsidRPr="001D6AD0">
        <w:rPr>
          <w:rFonts w:ascii="Corbel" w:hAnsi="Corbel" w:cs="Arial"/>
          <w:b/>
        </w:rPr>
        <w:t>10</w:t>
      </w:r>
      <w:r w:rsidRPr="001D6AD0">
        <w:rPr>
          <w:rFonts w:ascii="Corbel" w:hAnsi="Corbel" w:cs="Arial"/>
          <w:b/>
        </w:rPr>
        <w:t xml:space="preserve"> specijaliziranih djelatnosti ima širu i </w:t>
      </w:r>
      <w:proofErr w:type="spellStart"/>
      <w:r w:rsidRPr="001D6AD0">
        <w:rPr>
          <w:rFonts w:ascii="Corbel" w:hAnsi="Corbel" w:cs="Arial"/>
          <w:b/>
        </w:rPr>
        <w:t>diverzificiraniju</w:t>
      </w:r>
      <w:proofErr w:type="spellEnd"/>
      <w:r w:rsidRPr="001D6AD0">
        <w:rPr>
          <w:rFonts w:ascii="Corbel" w:hAnsi="Corbel" w:cs="Arial"/>
          <w:b/>
        </w:rPr>
        <w:t xml:space="preserve"> gospodarsku bazu od RH</w:t>
      </w:r>
      <w:r w:rsidR="00D50648" w:rsidRPr="001D6AD0">
        <w:rPr>
          <w:rFonts w:ascii="Corbel" w:hAnsi="Corbel" w:cs="Arial"/>
          <w:b/>
        </w:rPr>
        <w:t>.</w:t>
      </w:r>
    </w:p>
    <w:p w:rsidR="00157658" w:rsidRPr="001D6AD0" w:rsidRDefault="006C4B11" w:rsidP="00CC48D9">
      <w:pPr>
        <w:jc w:val="both"/>
        <w:rPr>
          <w:rFonts w:ascii="Corbel" w:hAnsi="Corbel" w:cs="Arial"/>
        </w:rPr>
      </w:pPr>
      <w:r w:rsidRPr="001D6AD0">
        <w:rPr>
          <w:rFonts w:ascii="Corbel" w:hAnsi="Corbel" w:cs="Arial"/>
        </w:rPr>
        <w:t>U svrhu</w:t>
      </w:r>
      <w:r w:rsidR="00501A0A" w:rsidRPr="001D6AD0">
        <w:rPr>
          <w:rFonts w:ascii="Corbel" w:hAnsi="Corbel" w:cs="Arial"/>
        </w:rPr>
        <w:t xml:space="preserve"> ekonomskog razvoja, često je korisno fokusirati se na ekstreme-djelatnosti sa kvocijentom lokacije </w:t>
      </w:r>
      <w:r w:rsidR="00501A0A" w:rsidRPr="00926B73">
        <w:rPr>
          <w:rFonts w:ascii="Corbel" w:hAnsi="Corbel" w:cs="Arial"/>
        </w:rPr>
        <w:t>većim</w:t>
      </w:r>
      <w:r w:rsidR="0022779E" w:rsidRPr="00926B73">
        <w:rPr>
          <w:rFonts w:ascii="Corbel" w:hAnsi="Corbel" w:cs="Arial"/>
        </w:rPr>
        <w:t xml:space="preserve"> od</w:t>
      </w:r>
      <w:r w:rsidR="00501A0A" w:rsidRPr="00926B73">
        <w:rPr>
          <w:rFonts w:ascii="Corbel" w:hAnsi="Corbel" w:cs="Arial"/>
        </w:rPr>
        <w:t xml:space="preserve"> 1,25 (moguće komponente izvozne baze). U gradu Zadru </w:t>
      </w:r>
      <w:r w:rsidR="00501A0A" w:rsidRPr="00926B73">
        <w:rPr>
          <w:rFonts w:ascii="Corbel" w:hAnsi="Corbel" w:cs="Arial"/>
          <w:b/>
        </w:rPr>
        <w:t>djelatnost sa najvećim lokacijskim kvoc</w:t>
      </w:r>
      <w:r w:rsidR="006257EA" w:rsidRPr="00926B73">
        <w:rPr>
          <w:rFonts w:ascii="Corbel" w:hAnsi="Corbel" w:cs="Arial"/>
          <w:b/>
        </w:rPr>
        <w:t>i</w:t>
      </w:r>
      <w:r w:rsidR="00501A0A" w:rsidRPr="00926B73">
        <w:rPr>
          <w:rFonts w:ascii="Corbel" w:hAnsi="Corbel" w:cs="Arial"/>
          <w:b/>
        </w:rPr>
        <w:t xml:space="preserve">jentom je djelatnost (N) </w:t>
      </w:r>
      <w:r w:rsidR="00157658" w:rsidRPr="00926B73">
        <w:rPr>
          <w:rFonts w:ascii="Corbel" w:hAnsi="Corbel" w:cs="Arial"/>
          <w:b/>
          <w:i/>
        </w:rPr>
        <w:t>Administrativne i pomoćne uslužne djelatnosti</w:t>
      </w:r>
      <w:r w:rsidR="00501A0A" w:rsidRPr="00926B73">
        <w:rPr>
          <w:rFonts w:ascii="Corbel" w:hAnsi="Corbel" w:cs="Arial"/>
          <w:i/>
        </w:rPr>
        <w:t xml:space="preserve"> (</w:t>
      </w:r>
      <w:r w:rsidR="00501A0A" w:rsidRPr="00926B73">
        <w:rPr>
          <w:rFonts w:ascii="Corbel" w:hAnsi="Corbel" w:cs="Arial"/>
          <w:b/>
          <w:i/>
        </w:rPr>
        <w:t>1,90</w:t>
      </w:r>
      <w:r w:rsidR="00501A0A" w:rsidRPr="00926B73">
        <w:rPr>
          <w:rFonts w:ascii="Corbel" w:hAnsi="Corbel" w:cs="Arial"/>
          <w:i/>
        </w:rPr>
        <w:t>)</w:t>
      </w:r>
      <w:r w:rsidR="0022779E" w:rsidRPr="00926B73">
        <w:rPr>
          <w:rFonts w:ascii="Corbel" w:hAnsi="Corbel" w:cs="Arial"/>
          <w:i/>
        </w:rPr>
        <w:t xml:space="preserve"> </w:t>
      </w:r>
      <w:r w:rsidR="0022779E" w:rsidRPr="00926B73">
        <w:rPr>
          <w:rFonts w:ascii="Corbel" w:hAnsi="Corbel" w:cs="Arial"/>
        </w:rPr>
        <w:t xml:space="preserve">koja se sastoji od djelatnosti iznajmljivanja (ponajviše </w:t>
      </w:r>
      <w:proofErr w:type="spellStart"/>
      <w:r w:rsidR="0022779E" w:rsidRPr="00926B73">
        <w:rPr>
          <w:rFonts w:ascii="Corbel" w:hAnsi="Corbel" w:cs="Arial"/>
        </w:rPr>
        <w:t>charter</w:t>
      </w:r>
      <w:proofErr w:type="spellEnd"/>
      <w:r w:rsidR="0022779E" w:rsidRPr="00926B73">
        <w:rPr>
          <w:rFonts w:ascii="Corbel" w:hAnsi="Corbel" w:cs="Arial"/>
        </w:rPr>
        <w:t xml:space="preserve">, </w:t>
      </w:r>
      <w:r w:rsidR="006E62DC" w:rsidRPr="00926B73">
        <w:rPr>
          <w:rFonts w:ascii="Corbel" w:hAnsi="Corbel" w:cs="Arial"/>
        </w:rPr>
        <w:t xml:space="preserve">različiti </w:t>
      </w:r>
      <w:proofErr w:type="spellStart"/>
      <w:r w:rsidR="006E62DC" w:rsidRPr="00926B73">
        <w:rPr>
          <w:rFonts w:ascii="Corbel" w:hAnsi="Corbel" w:cs="Arial"/>
        </w:rPr>
        <w:t>leasinzi</w:t>
      </w:r>
      <w:proofErr w:type="spellEnd"/>
      <w:r w:rsidR="006E62DC" w:rsidRPr="00926B73">
        <w:rPr>
          <w:rFonts w:ascii="Corbel" w:hAnsi="Corbel" w:cs="Arial"/>
        </w:rPr>
        <w:t xml:space="preserve">, </w:t>
      </w:r>
      <w:r w:rsidR="00EE4F31" w:rsidRPr="00926B73">
        <w:rPr>
          <w:rFonts w:ascii="Corbel" w:hAnsi="Corbel" w:cs="Arial"/>
        </w:rPr>
        <w:t>zatim</w:t>
      </w:r>
      <w:r w:rsidR="00DC1449" w:rsidRPr="00926B73">
        <w:rPr>
          <w:rFonts w:ascii="Corbel" w:hAnsi="Corbel" w:cs="Arial"/>
        </w:rPr>
        <w:t xml:space="preserve"> iznajmljivanje auta</w:t>
      </w:r>
      <w:r w:rsidR="006E62DC" w:rsidRPr="00926B73">
        <w:rPr>
          <w:rFonts w:ascii="Corbel" w:hAnsi="Corbel" w:cs="Arial"/>
        </w:rPr>
        <w:t>, itd.</w:t>
      </w:r>
      <w:r w:rsidR="0022779E" w:rsidRPr="00926B73">
        <w:rPr>
          <w:rFonts w:ascii="Corbel" w:hAnsi="Corbel" w:cs="Arial"/>
        </w:rPr>
        <w:t>),  putničkih agencija, tvrtki za upravljanje z</w:t>
      </w:r>
      <w:r w:rsidR="006E62DC" w:rsidRPr="00926B73">
        <w:rPr>
          <w:rFonts w:ascii="Corbel" w:hAnsi="Corbel" w:cs="Arial"/>
        </w:rPr>
        <w:t>gradama, zaštitarskih tvrtki</w:t>
      </w:r>
      <w:r w:rsidR="00F21320" w:rsidRPr="00926B73">
        <w:rPr>
          <w:rFonts w:ascii="Corbel" w:hAnsi="Corbel" w:cs="Arial"/>
        </w:rPr>
        <w:t xml:space="preserve"> </w:t>
      </w:r>
      <w:proofErr w:type="spellStart"/>
      <w:r w:rsidR="00F21320" w:rsidRPr="00926B73">
        <w:rPr>
          <w:rFonts w:ascii="Corbel" w:hAnsi="Corbel" w:cs="Arial"/>
        </w:rPr>
        <w:t>idr</w:t>
      </w:r>
      <w:proofErr w:type="spellEnd"/>
      <w:r w:rsidR="006E62DC" w:rsidRPr="00926B73">
        <w:rPr>
          <w:rFonts w:ascii="Corbel" w:hAnsi="Corbel" w:cs="Arial"/>
        </w:rPr>
        <w:t>.</w:t>
      </w:r>
      <w:r w:rsidR="006E62DC" w:rsidRPr="001D6AD0">
        <w:rPr>
          <w:rFonts w:ascii="Corbel" w:hAnsi="Corbel" w:cs="Arial"/>
        </w:rPr>
        <w:t xml:space="preserve"> </w:t>
      </w:r>
      <w:r w:rsidR="00ED0EF7" w:rsidRPr="001D6AD0">
        <w:rPr>
          <w:rFonts w:ascii="Corbel" w:hAnsi="Corbel" w:cs="Arial"/>
        </w:rPr>
        <w:t xml:space="preserve">Unutar djelatnosti </w:t>
      </w:r>
      <w:r w:rsidR="00ED0EF7" w:rsidRPr="001D6AD0">
        <w:rPr>
          <w:rFonts w:ascii="Corbel" w:hAnsi="Corbel" w:cs="Arial"/>
          <w:b/>
        </w:rPr>
        <w:t>n</w:t>
      </w:r>
      <w:r w:rsidR="0022779E" w:rsidRPr="001D6AD0">
        <w:rPr>
          <w:rFonts w:ascii="Corbel" w:hAnsi="Corbel" w:cs="Arial"/>
          <w:b/>
        </w:rPr>
        <w:t xml:space="preserve">ajveći je broj </w:t>
      </w:r>
      <w:proofErr w:type="spellStart"/>
      <w:r w:rsidR="006E62DC" w:rsidRPr="001D6AD0">
        <w:rPr>
          <w:rFonts w:ascii="Corbel" w:hAnsi="Corbel" w:cs="Arial"/>
          <w:b/>
          <w:u w:val="single"/>
        </w:rPr>
        <w:t>charter</w:t>
      </w:r>
      <w:proofErr w:type="spellEnd"/>
      <w:r w:rsidR="006E62DC" w:rsidRPr="001D6AD0">
        <w:rPr>
          <w:rFonts w:ascii="Corbel" w:hAnsi="Corbel" w:cs="Arial"/>
          <w:b/>
          <w:u w:val="single"/>
        </w:rPr>
        <w:t xml:space="preserve"> tvrtki te </w:t>
      </w:r>
      <w:r w:rsidR="0022779E" w:rsidRPr="001D6AD0">
        <w:rPr>
          <w:rFonts w:ascii="Corbel" w:hAnsi="Corbel" w:cs="Arial"/>
          <w:b/>
          <w:u w:val="single"/>
        </w:rPr>
        <w:t>putničkih agencija</w:t>
      </w:r>
      <w:r w:rsidR="00F21320" w:rsidRPr="001D6AD0">
        <w:rPr>
          <w:rFonts w:ascii="Corbel" w:hAnsi="Corbel" w:cs="Arial"/>
          <w:b/>
        </w:rPr>
        <w:t xml:space="preserve">. </w:t>
      </w:r>
    </w:p>
    <w:p w:rsidR="00B570D2" w:rsidRPr="003D2357" w:rsidRDefault="00763BB5" w:rsidP="00523629">
      <w:pPr>
        <w:spacing w:line="240" w:lineRule="auto"/>
        <w:jc w:val="both"/>
        <w:rPr>
          <w:rFonts w:ascii="Corbel" w:hAnsi="Corbel" w:cs="Arial"/>
        </w:rPr>
      </w:pPr>
      <w:r w:rsidRPr="001D6AD0">
        <w:rPr>
          <w:rFonts w:ascii="Corbel" w:hAnsi="Corbel" w:cs="Arial"/>
        </w:rPr>
        <w:t xml:space="preserve">Sljedeća djelatnost sa najvišim lokacijskim kvocijentom je </w:t>
      </w:r>
      <w:r w:rsidRPr="001D6AD0">
        <w:rPr>
          <w:rFonts w:ascii="Corbel" w:hAnsi="Corbel" w:cs="Arial"/>
          <w:b/>
        </w:rPr>
        <w:t>trgovina</w:t>
      </w:r>
      <w:r w:rsidR="00733FAD" w:rsidRPr="001D6AD0">
        <w:rPr>
          <w:rFonts w:ascii="Corbel" w:hAnsi="Corbel" w:cs="Arial"/>
        </w:rPr>
        <w:t xml:space="preserve"> koja zapošljava najveći broj ljudi u Zadru</w:t>
      </w:r>
      <w:r w:rsidR="006146A7" w:rsidRPr="001D6AD0">
        <w:rPr>
          <w:rFonts w:ascii="Corbel" w:hAnsi="Corbel" w:cs="Arial"/>
        </w:rPr>
        <w:t>, zatim</w:t>
      </w:r>
      <w:r w:rsidR="0007075C" w:rsidRPr="001D6AD0">
        <w:rPr>
          <w:rFonts w:ascii="Corbel" w:hAnsi="Corbel" w:cs="Arial"/>
        </w:rPr>
        <w:t xml:space="preserve"> slijedi </w:t>
      </w:r>
      <w:r w:rsidR="0007075C" w:rsidRPr="001D6AD0">
        <w:rPr>
          <w:rFonts w:ascii="Corbel" w:hAnsi="Corbel" w:cs="Arial"/>
          <w:b/>
        </w:rPr>
        <w:t>financijski sektor</w:t>
      </w:r>
      <w:r w:rsidR="0007075C" w:rsidRPr="001D6AD0">
        <w:rPr>
          <w:rFonts w:ascii="Corbel" w:hAnsi="Corbel" w:cs="Arial"/>
        </w:rPr>
        <w:t xml:space="preserve"> </w:t>
      </w:r>
      <w:r w:rsidR="008D0876" w:rsidRPr="001D6AD0">
        <w:rPr>
          <w:rFonts w:ascii="Corbel" w:hAnsi="Corbel" w:cs="Arial"/>
        </w:rPr>
        <w:t xml:space="preserve">(prvenstveno zbog </w:t>
      </w:r>
      <w:proofErr w:type="spellStart"/>
      <w:r w:rsidR="008D0876" w:rsidRPr="001D6AD0">
        <w:rPr>
          <w:rFonts w:ascii="Corbel" w:hAnsi="Corbel" w:cs="Arial"/>
        </w:rPr>
        <w:t>OTP</w:t>
      </w:r>
      <w:proofErr w:type="spellEnd"/>
      <w:r w:rsidR="008D0876" w:rsidRPr="001D6AD0">
        <w:rPr>
          <w:rFonts w:ascii="Corbel" w:hAnsi="Corbel" w:cs="Arial"/>
        </w:rPr>
        <w:t xml:space="preserve"> banke)</w:t>
      </w:r>
      <w:r w:rsidR="006146A7" w:rsidRPr="001D6AD0">
        <w:rPr>
          <w:rFonts w:ascii="Corbel" w:hAnsi="Corbel" w:cs="Arial"/>
        </w:rPr>
        <w:t xml:space="preserve">, </w:t>
      </w:r>
      <w:r w:rsidR="00EE3066" w:rsidRPr="001D6AD0">
        <w:rPr>
          <w:rFonts w:ascii="Corbel" w:hAnsi="Corbel" w:cs="Arial"/>
          <w:b/>
        </w:rPr>
        <w:t xml:space="preserve">te </w:t>
      </w:r>
      <w:r w:rsidR="006146A7" w:rsidRPr="001D6AD0">
        <w:rPr>
          <w:rFonts w:ascii="Corbel" w:hAnsi="Corbel" w:cs="Arial"/>
          <w:b/>
        </w:rPr>
        <w:t>prijevoz i skladištenje</w:t>
      </w:r>
      <w:r w:rsidR="008D0876" w:rsidRPr="001D6AD0">
        <w:rPr>
          <w:rFonts w:ascii="Corbel" w:hAnsi="Corbel" w:cs="Arial"/>
        </w:rPr>
        <w:t xml:space="preserve"> gdje dominiraju tvrtke poput </w:t>
      </w:r>
      <w:r w:rsidR="008D0876" w:rsidRPr="003D2357">
        <w:rPr>
          <w:rFonts w:ascii="Corbel" w:hAnsi="Corbel" w:cs="Arial"/>
        </w:rPr>
        <w:t>Tankerske plovidbe, Zračne luke Zadar, itd</w:t>
      </w:r>
      <w:r w:rsidR="006146A7" w:rsidRPr="003D2357">
        <w:rPr>
          <w:rFonts w:ascii="Corbel" w:hAnsi="Corbel" w:cs="Arial"/>
        </w:rPr>
        <w:t>.</w:t>
      </w:r>
      <w:r w:rsidR="0003797D" w:rsidRPr="003D2357">
        <w:rPr>
          <w:rFonts w:ascii="Corbel" w:hAnsi="Corbel" w:cs="Arial"/>
        </w:rPr>
        <w:t xml:space="preserve"> </w:t>
      </w:r>
      <w:r w:rsidR="0003797D" w:rsidRPr="003D2357">
        <w:rPr>
          <w:rFonts w:ascii="Corbel" w:hAnsi="Corbel" w:cs="Arial"/>
          <w:b/>
        </w:rPr>
        <w:t>Sve ove djelatnosti karakteristične su po istaknutim velikim tvrtkama</w:t>
      </w:r>
      <w:r w:rsidR="0007075C" w:rsidRPr="003D2357">
        <w:rPr>
          <w:rFonts w:ascii="Corbel" w:hAnsi="Corbel" w:cs="Arial"/>
          <w:b/>
        </w:rPr>
        <w:t xml:space="preserve"> </w:t>
      </w:r>
      <w:r w:rsidR="0003797D" w:rsidRPr="003D2357">
        <w:rPr>
          <w:rFonts w:ascii="Corbel" w:hAnsi="Corbel" w:cs="Arial"/>
          <w:b/>
        </w:rPr>
        <w:t>koje</w:t>
      </w:r>
      <w:r w:rsidR="0007075C" w:rsidRPr="003D2357">
        <w:rPr>
          <w:rFonts w:ascii="Corbel" w:hAnsi="Corbel" w:cs="Arial"/>
          <w:b/>
        </w:rPr>
        <w:t xml:space="preserve"> zapošljavaju većinu ljudi</w:t>
      </w:r>
      <w:r w:rsidR="0007075C" w:rsidRPr="003D2357">
        <w:rPr>
          <w:rFonts w:ascii="Corbel" w:hAnsi="Corbel" w:cs="Arial"/>
        </w:rPr>
        <w:t xml:space="preserve"> iz navedenih sektora djelatnosti, što ujedno znači da poslovanje tih tvrtki krucijalno utječe na razvoj</w:t>
      </w:r>
      <w:r w:rsidR="008947D9" w:rsidRPr="003D2357">
        <w:rPr>
          <w:rFonts w:ascii="Corbel" w:hAnsi="Corbel" w:cs="Arial"/>
        </w:rPr>
        <w:t xml:space="preserve"> navedenih</w:t>
      </w:r>
      <w:r w:rsidR="0007075C" w:rsidRPr="003D2357">
        <w:rPr>
          <w:rFonts w:ascii="Corbel" w:hAnsi="Corbel" w:cs="Arial"/>
        </w:rPr>
        <w:t xml:space="preserve"> sektora.</w:t>
      </w:r>
    </w:p>
    <w:p w:rsidR="001368EC" w:rsidRPr="003D2357" w:rsidRDefault="001368EC" w:rsidP="003D0416">
      <w:pPr>
        <w:jc w:val="both"/>
        <w:rPr>
          <w:rFonts w:ascii="Corbel" w:hAnsi="Corbel" w:cs="Arial"/>
        </w:rPr>
      </w:pPr>
      <w:r w:rsidRPr="003D2357">
        <w:rPr>
          <w:rFonts w:ascii="Corbel" w:hAnsi="Corbel" w:cs="Arial"/>
        </w:rPr>
        <w:t>U usporedbi s Istrom (</w:t>
      </w:r>
      <w:r w:rsidRPr="003D2357">
        <w:rPr>
          <w:rFonts w:ascii="Corbel" w:hAnsi="Corbel" w:cs="Arial"/>
          <w:b/>
        </w:rPr>
        <w:t>bez djelatnosti javnog sektora</w:t>
      </w:r>
      <w:r w:rsidRPr="003D2357">
        <w:rPr>
          <w:rFonts w:ascii="Corbel" w:hAnsi="Corbel" w:cs="Arial"/>
        </w:rPr>
        <w:t>) Zadar se specijalizirao u</w:t>
      </w:r>
      <w:r w:rsidR="00A544E5" w:rsidRPr="003D2357">
        <w:rPr>
          <w:rFonts w:ascii="Corbel" w:hAnsi="Corbel" w:cs="Arial"/>
        </w:rPr>
        <w:t xml:space="preserve"> djelatnostima</w:t>
      </w:r>
      <w:r w:rsidRPr="003D2357">
        <w:rPr>
          <w:rFonts w:ascii="Corbel" w:hAnsi="Corbel" w:cs="Arial"/>
        </w:rPr>
        <w:t>:</w:t>
      </w:r>
    </w:p>
    <w:p w:rsidR="00A544E5" w:rsidRPr="00DD745B" w:rsidRDefault="00A544E5" w:rsidP="001368EC">
      <w:pPr>
        <w:pStyle w:val="Odlomakpopisa"/>
        <w:numPr>
          <w:ilvl w:val="0"/>
          <w:numId w:val="12"/>
        </w:numPr>
        <w:jc w:val="both"/>
        <w:rPr>
          <w:rFonts w:ascii="Corbel" w:hAnsi="Corbel" w:cs="Arial"/>
          <w:b/>
        </w:rPr>
      </w:pPr>
      <w:r w:rsidRPr="00DD745B">
        <w:rPr>
          <w:rFonts w:ascii="Corbel" w:hAnsi="Corbel" w:cs="Arial"/>
          <w:b/>
        </w:rPr>
        <w:lastRenderedPageBreak/>
        <w:t>(A) Poljoprivreda, šumarstvo i ribarstvo</w:t>
      </w:r>
    </w:p>
    <w:p w:rsidR="001368EC" w:rsidRPr="00DD745B" w:rsidRDefault="001368EC" w:rsidP="001368EC">
      <w:pPr>
        <w:pStyle w:val="Odlomakpopisa"/>
        <w:numPr>
          <w:ilvl w:val="0"/>
          <w:numId w:val="12"/>
        </w:numPr>
        <w:jc w:val="both"/>
        <w:rPr>
          <w:rFonts w:ascii="Corbel" w:hAnsi="Corbel" w:cs="Arial"/>
          <w:b/>
        </w:rPr>
      </w:pPr>
      <w:r w:rsidRPr="00DD745B">
        <w:rPr>
          <w:rFonts w:ascii="Corbel" w:hAnsi="Corbel" w:cs="Arial"/>
          <w:b/>
        </w:rPr>
        <w:t>(G) Trgovina na veliko i na malo; popravak motornih vozila i motocikala</w:t>
      </w:r>
    </w:p>
    <w:p w:rsidR="001368EC" w:rsidRPr="00DD745B" w:rsidRDefault="001368EC" w:rsidP="001368EC">
      <w:pPr>
        <w:pStyle w:val="Odlomakpopisa"/>
        <w:numPr>
          <w:ilvl w:val="0"/>
          <w:numId w:val="12"/>
        </w:numPr>
        <w:jc w:val="both"/>
        <w:rPr>
          <w:rFonts w:ascii="Corbel" w:hAnsi="Corbel" w:cs="Arial"/>
          <w:b/>
        </w:rPr>
      </w:pPr>
      <w:r w:rsidRPr="00DD745B">
        <w:rPr>
          <w:rFonts w:ascii="Corbel" w:hAnsi="Corbel" w:cs="Arial"/>
          <w:b/>
        </w:rPr>
        <w:t>(H) Prijevoz i skladištenje</w:t>
      </w:r>
    </w:p>
    <w:p w:rsidR="001368EC" w:rsidRPr="00DD745B" w:rsidRDefault="001368EC" w:rsidP="001368EC">
      <w:pPr>
        <w:pStyle w:val="Odlomakpopisa"/>
        <w:numPr>
          <w:ilvl w:val="0"/>
          <w:numId w:val="12"/>
        </w:numPr>
        <w:jc w:val="both"/>
        <w:rPr>
          <w:rFonts w:ascii="Corbel" w:hAnsi="Corbel" w:cs="Arial"/>
          <w:b/>
        </w:rPr>
      </w:pPr>
      <w:r w:rsidRPr="00DD745B">
        <w:rPr>
          <w:rFonts w:ascii="Corbel" w:hAnsi="Corbel" w:cs="Arial"/>
          <w:b/>
        </w:rPr>
        <w:t>(K) Financijske djelatnosti i djelatnosti osiguranja</w:t>
      </w:r>
    </w:p>
    <w:p w:rsidR="001368EC" w:rsidRPr="00DD745B" w:rsidRDefault="001368EC" w:rsidP="001368EC">
      <w:pPr>
        <w:pStyle w:val="Odlomakpopisa"/>
        <w:numPr>
          <w:ilvl w:val="0"/>
          <w:numId w:val="12"/>
        </w:numPr>
        <w:jc w:val="both"/>
        <w:rPr>
          <w:rFonts w:ascii="Corbel" w:hAnsi="Corbel" w:cs="Arial"/>
          <w:b/>
        </w:rPr>
      </w:pPr>
      <w:r w:rsidRPr="00DD745B">
        <w:rPr>
          <w:rFonts w:ascii="Corbel" w:hAnsi="Corbel" w:cs="Arial"/>
          <w:b/>
        </w:rPr>
        <w:t>(N) Administrativne i pomoćne uslužne djelatnosti</w:t>
      </w:r>
    </w:p>
    <w:p w:rsidR="00DB2084" w:rsidRPr="003D2357" w:rsidRDefault="00A544E5" w:rsidP="00A544E5">
      <w:pPr>
        <w:jc w:val="both"/>
        <w:rPr>
          <w:rFonts w:ascii="Corbel" w:hAnsi="Corbel" w:cs="Arial"/>
          <w:b/>
        </w:rPr>
      </w:pPr>
      <w:r w:rsidRPr="003D2357">
        <w:rPr>
          <w:rFonts w:ascii="Corbel" w:hAnsi="Corbel" w:cs="Arial"/>
        </w:rPr>
        <w:t xml:space="preserve">Interesantno je da se Zadar </w:t>
      </w:r>
      <w:r w:rsidRPr="003D2357">
        <w:rPr>
          <w:rFonts w:ascii="Corbel" w:hAnsi="Corbel" w:cs="Arial"/>
          <w:b/>
        </w:rPr>
        <w:t>više specijalizirao od Istre u djelatnostima prijevoza i skladištenja zatim administrativnim djelatnostima kao i  trgovini i financijskim djelatnostima</w:t>
      </w:r>
      <w:r w:rsidRPr="003D2357">
        <w:rPr>
          <w:rFonts w:ascii="Corbel" w:hAnsi="Corbel" w:cs="Arial"/>
        </w:rPr>
        <w:t xml:space="preserve">. S druge strane razlika u odnosu na RH je što je </w:t>
      </w:r>
      <w:r w:rsidRPr="003D2357">
        <w:rPr>
          <w:rFonts w:ascii="Corbel" w:hAnsi="Corbel" w:cs="Arial"/>
          <w:b/>
        </w:rPr>
        <w:t xml:space="preserve">Zadar „manje“ specijaliziran od Istre u djelatnosti smještaja te pripreme i usluživanja hrane. </w:t>
      </w:r>
    </w:p>
    <w:p w:rsidR="00C54138" w:rsidRPr="003D2357" w:rsidRDefault="00DB2084" w:rsidP="003D0416">
      <w:pPr>
        <w:jc w:val="both"/>
        <w:rPr>
          <w:rFonts w:ascii="Corbel" w:hAnsi="Corbel" w:cs="Arial"/>
        </w:rPr>
      </w:pPr>
      <w:r w:rsidRPr="003D2357">
        <w:rPr>
          <w:rFonts w:ascii="Corbel" w:hAnsi="Corbel" w:cs="Arial"/>
          <w:b/>
        </w:rPr>
        <w:t>U</w:t>
      </w:r>
      <w:r w:rsidR="00A544E5" w:rsidRPr="003D2357">
        <w:rPr>
          <w:rFonts w:ascii="Corbel" w:hAnsi="Corbel" w:cs="Arial"/>
          <w:b/>
        </w:rPr>
        <w:t xml:space="preserve"> svim ostalim djelatnostima (</w:t>
      </w:r>
      <w:proofErr w:type="spellStart"/>
      <w:r w:rsidR="00A544E5" w:rsidRPr="003D2357">
        <w:rPr>
          <w:rFonts w:ascii="Corbel" w:hAnsi="Corbel" w:cs="Arial"/>
          <w:b/>
        </w:rPr>
        <w:t>LK</w:t>
      </w:r>
      <w:proofErr w:type="spellEnd"/>
      <w:r w:rsidR="00A544E5" w:rsidRPr="003D2357">
        <w:rPr>
          <w:rFonts w:ascii="Corbel" w:hAnsi="Corbel" w:cs="Arial"/>
          <w:b/>
        </w:rPr>
        <w:t xml:space="preserve"> manji od 1) Zadar s</w:t>
      </w:r>
      <w:r w:rsidRPr="003D2357">
        <w:rPr>
          <w:rFonts w:ascii="Corbel" w:hAnsi="Corbel" w:cs="Arial"/>
          <w:b/>
        </w:rPr>
        <w:t>e manje specijalizirao od Istre i RH.</w:t>
      </w:r>
    </w:p>
    <w:p w:rsidR="00030794" w:rsidRPr="00B26235" w:rsidRDefault="00030794" w:rsidP="00030794">
      <w:pPr>
        <w:pStyle w:val="Opisslike"/>
        <w:keepNext/>
        <w:rPr>
          <w:sz w:val="20"/>
        </w:rPr>
      </w:pPr>
      <w:bookmarkStart w:id="32" w:name="_Toc351538480"/>
      <w:r w:rsidRPr="00B26235">
        <w:rPr>
          <w:sz w:val="20"/>
        </w:rPr>
        <w:t xml:space="preserve">Slika </w:t>
      </w:r>
      <w:r w:rsidRPr="00B26235">
        <w:rPr>
          <w:sz w:val="20"/>
        </w:rPr>
        <w:fldChar w:fldCharType="begin"/>
      </w:r>
      <w:r w:rsidRPr="00B26235">
        <w:rPr>
          <w:sz w:val="20"/>
        </w:rPr>
        <w:instrText xml:space="preserve"> SEQ Slika \* ARABIC </w:instrText>
      </w:r>
      <w:r w:rsidRPr="00B26235">
        <w:rPr>
          <w:sz w:val="20"/>
        </w:rPr>
        <w:fldChar w:fldCharType="separate"/>
      </w:r>
      <w:r w:rsidR="001E7A09">
        <w:rPr>
          <w:noProof/>
          <w:sz w:val="20"/>
        </w:rPr>
        <w:t>17</w:t>
      </w:r>
      <w:r w:rsidRPr="00B26235">
        <w:rPr>
          <w:sz w:val="20"/>
        </w:rPr>
        <w:fldChar w:fldCharType="end"/>
      </w:r>
      <w:r w:rsidRPr="00B26235">
        <w:rPr>
          <w:sz w:val="20"/>
        </w:rPr>
        <w:t>.: Lokacijski kvocijent za grad Zadar</w:t>
      </w:r>
      <w:r w:rsidR="009E5044">
        <w:rPr>
          <w:sz w:val="20"/>
        </w:rPr>
        <w:t xml:space="preserve"> u odnosu prema RH i prema Istri</w:t>
      </w:r>
      <w:r w:rsidR="00C14BB4">
        <w:rPr>
          <w:sz w:val="20"/>
        </w:rPr>
        <w:t xml:space="preserve"> u 2011. godini, NKD 2007</w:t>
      </w:r>
      <w:bookmarkEnd w:id="32"/>
    </w:p>
    <w:p w:rsidR="00C13281" w:rsidRDefault="009E5044" w:rsidP="00B26235">
      <w:pPr>
        <w:spacing w:after="0"/>
        <w:rPr>
          <w:rFonts w:ascii="Times New Roman" w:hAnsi="Times New Roman" w:cs="Arial"/>
        </w:rPr>
      </w:pPr>
      <w:r>
        <w:rPr>
          <w:noProof/>
          <w:lang w:eastAsia="hr-HR"/>
        </w:rPr>
        <w:drawing>
          <wp:inline distT="0" distB="0" distL="0" distR="0" wp14:anchorId="052DC3BA" wp14:editId="47BA7729">
            <wp:extent cx="5848350" cy="3295650"/>
            <wp:effectExtent l="0" t="0" r="19050" b="19050"/>
            <wp:docPr id="14" name="Grafikon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13281" w:rsidRDefault="00B26235" w:rsidP="00971EE3">
      <w:pPr>
        <w:spacing w:after="0"/>
        <w:rPr>
          <w:rFonts w:ascii="Times New Roman" w:hAnsi="Times New Roman" w:cs="Arial"/>
        </w:rPr>
      </w:pPr>
      <w:r>
        <w:rPr>
          <w:rFonts w:ascii="Times New Roman" w:hAnsi="Times New Roman" w:cs="Arial"/>
        </w:rPr>
        <w:t>Izvor: DZS,</w:t>
      </w:r>
      <w:r w:rsidR="00E3654B">
        <w:rPr>
          <w:rFonts w:ascii="Times New Roman" w:hAnsi="Times New Roman" w:cs="Arial"/>
        </w:rPr>
        <w:t xml:space="preserve"> Statističko izvješće,</w:t>
      </w:r>
      <w:r>
        <w:rPr>
          <w:rFonts w:ascii="Times New Roman" w:hAnsi="Times New Roman" w:cs="Arial"/>
        </w:rPr>
        <w:t xml:space="preserve"> obrada: ZADRA</w:t>
      </w:r>
    </w:p>
    <w:p w:rsidR="00971EE3" w:rsidRDefault="00971EE3" w:rsidP="000A0A74">
      <w:pPr>
        <w:rPr>
          <w:rFonts w:ascii="Times New Roman" w:hAnsi="Times New Roman" w:cs="Arial"/>
        </w:rPr>
      </w:pPr>
      <w:r>
        <w:rPr>
          <w:rFonts w:ascii="Times New Roman" w:hAnsi="Times New Roman" w:cs="Arial"/>
        </w:rPr>
        <w:t>*Sivo su označene djelatnosti javnog sektora</w:t>
      </w:r>
    </w:p>
    <w:p w:rsidR="00DB2084" w:rsidRPr="007D4FCA" w:rsidRDefault="00072453" w:rsidP="003D0416">
      <w:pPr>
        <w:jc w:val="both"/>
        <w:rPr>
          <w:rFonts w:ascii="Corbel" w:hAnsi="Corbel" w:cs="Times New Roman"/>
        </w:rPr>
      </w:pPr>
      <w:r w:rsidRPr="007D4FCA">
        <w:rPr>
          <w:rFonts w:ascii="Corbel" w:hAnsi="Corbel" w:cs="Times New Roman"/>
          <w:b/>
        </w:rPr>
        <w:t>U strukturi djelatnosti grada Zadra nije spomenuta djelatnost Ribarstva</w:t>
      </w:r>
      <w:r w:rsidRPr="007D4FCA">
        <w:rPr>
          <w:rStyle w:val="Referencafusnote"/>
          <w:rFonts w:ascii="Corbel" w:hAnsi="Corbel" w:cs="Times New Roman"/>
        </w:rPr>
        <w:footnoteReference w:id="10"/>
      </w:r>
      <w:r w:rsidRPr="007D4FCA">
        <w:rPr>
          <w:rFonts w:ascii="Corbel" w:hAnsi="Corbel" w:cs="Times New Roman"/>
        </w:rPr>
        <w:t xml:space="preserve"> (kao dio poljoprivrede), a svakako zaslužuje da se spomene zbog svog iznimnog značaja za cijelu županiju. Ribarstvo i prerada ribe tradicionalno su sektor u kojemu Zadarska županija prednjači naspram ostalih županija u RH</w:t>
      </w:r>
      <w:r w:rsidRPr="007D4FCA">
        <w:rPr>
          <w:rStyle w:val="Referencafusnote"/>
          <w:rFonts w:ascii="Corbel" w:hAnsi="Corbel" w:cs="Times New Roman"/>
        </w:rPr>
        <w:footnoteReference w:id="11"/>
      </w:r>
      <w:r w:rsidRPr="007D4FCA">
        <w:rPr>
          <w:rFonts w:ascii="Corbel" w:hAnsi="Corbel" w:cs="Times New Roman"/>
        </w:rPr>
        <w:t xml:space="preserve">. Grad Zadar kao urbani centar županije ribarima služi za plasman ribe i logistiku, stoga se snažna ribarska industrija županije ne može zamisliti bez potpore Zadra. </w:t>
      </w:r>
    </w:p>
    <w:p w:rsidR="00C13281" w:rsidRPr="007D4FCA" w:rsidRDefault="00072453" w:rsidP="003D0416">
      <w:pPr>
        <w:jc w:val="both"/>
        <w:rPr>
          <w:rFonts w:ascii="Corbel" w:hAnsi="Corbel" w:cs="Arial"/>
        </w:rPr>
      </w:pPr>
      <w:r w:rsidRPr="007D4FCA">
        <w:rPr>
          <w:rFonts w:ascii="Corbel" w:hAnsi="Corbel" w:cs="Arial"/>
        </w:rPr>
        <w:lastRenderedPageBreak/>
        <w:t xml:space="preserve">Analiza </w:t>
      </w:r>
      <w:r w:rsidR="00212677" w:rsidRPr="007D4FCA">
        <w:rPr>
          <w:rFonts w:ascii="Corbel" w:hAnsi="Corbel" w:cs="Arial"/>
        </w:rPr>
        <w:t xml:space="preserve">lokacijskih kvocijenata za gradove u RH  </w:t>
      </w:r>
      <w:r w:rsidRPr="007D4FCA">
        <w:rPr>
          <w:rFonts w:ascii="Corbel" w:hAnsi="Corbel" w:cs="Arial"/>
        </w:rPr>
        <w:t xml:space="preserve">potvrđuje raniji zaključak </w:t>
      </w:r>
      <w:r w:rsidR="00212677" w:rsidRPr="007D4FCA">
        <w:rPr>
          <w:rFonts w:ascii="Corbel" w:hAnsi="Corbel" w:cs="Arial"/>
        </w:rPr>
        <w:t xml:space="preserve">(analiza zaposlenosti i nezaposlenosti)  </w:t>
      </w:r>
      <w:r w:rsidRPr="007D4FCA">
        <w:rPr>
          <w:rFonts w:ascii="Corbel" w:hAnsi="Corbel" w:cs="Arial"/>
        </w:rPr>
        <w:t>o tome da su gradovi „gubitnici“</w:t>
      </w:r>
      <w:r w:rsidR="00212677" w:rsidRPr="007D4FCA">
        <w:rPr>
          <w:rStyle w:val="Referencafusnote"/>
          <w:rFonts w:ascii="Corbel" w:hAnsi="Corbel" w:cs="Arial"/>
        </w:rPr>
        <w:footnoteReference w:id="12"/>
      </w:r>
      <w:r w:rsidRPr="007D4FCA">
        <w:rPr>
          <w:rFonts w:ascii="Corbel" w:hAnsi="Corbel" w:cs="Arial"/>
        </w:rPr>
        <w:t xml:space="preserve"> oni koji su imali veću koncentraciju odnosno usku gospodarsku strukturu (dominiraju jedna ili dvije djelatnosti). Također i gradovi koji su pokazali najmanju otpornost na krizu imaju uglavnom</w:t>
      </w:r>
      <w:r w:rsidR="007F001A" w:rsidRPr="007D4FCA">
        <w:rPr>
          <w:rFonts w:ascii="Corbel" w:hAnsi="Corbel" w:cs="Arial"/>
        </w:rPr>
        <w:t xml:space="preserve"> </w:t>
      </w:r>
      <w:r w:rsidRPr="007D4FCA">
        <w:rPr>
          <w:rFonts w:ascii="Corbel" w:hAnsi="Corbel" w:cs="Arial"/>
        </w:rPr>
        <w:t xml:space="preserve"> </w:t>
      </w:r>
      <w:proofErr w:type="spellStart"/>
      <w:r w:rsidRPr="007D4FCA">
        <w:rPr>
          <w:rFonts w:ascii="Corbel" w:hAnsi="Corbel" w:cs="Arial"/>
        </w:rPr>
        <w:t>monostrukturno</w:t>
      </w:r>
      <w:proofErr w:type="spellEnd"/>
      <w:r w:rsidRPr="007D4FCA">
        <w:rPr>
          <w:rFonts w:ascii="Corbel" w:hAnsi="Corbel" w:cs="Arial"/>
        </w:rPr>
        <w:t xml:space="preserve"> gospodarstvo.</w:t>
      </w:r>
      <w:r w:rsidR="00212677" w:rsidRPr="007D4FCA">
        <w:rPr>
          <w:rFonts w:ascii="Corbel" w:hAnsi="Corbel" w:cs="Arial"/>
        </w:rPr>
        <w:t xml:space="preserve"> Među gradovima „gubitnicima“ </w:t>
      </w:r>
      <w:r w:rsidR="00212677" w:rsidRPr="007D4FCA">
        <w:rPr>
          <w:rFonts w:ascii="Corbel" w:hAnsi="Corbel" w:cs="Arial"/>
          <w:b/>
        </w:rPr>
        <w:t>u pravilu dominiraju primarne djelatnosti (poljoprivreda, prerađivačka industrija i proizvodnja energije)</w:t>
      </w:r>
      <w:r w:rsidR="007F001A" w:rsidRPr="007D4FCA">
        <w:rPr>
          <w:rFonts w:ascii="Corbel" w:hAnsi="Corbel" w:cs="Arial"/>
        </w:rPr>
        <w:t xml:space="preserve"> </w:t>
      </w:r>
      <w:r w:rsidR="00212677" w:rsidRPr="007D4FCA">
        <w:rPr>
          <w:rFonts w:ascii="Corbel" w:hAnsi="Corbel" w:cs="Arial"/>
        </w:rPr>
        <w:t xml:space="preserve">uz izuzetak Dubrovnika i Šibenika dok kod </w:t>
      </w:r>
      <w:r w:rsidR="003D0416" w:rsidRPr="007D4FCA">
        <w:rPr>
          <w:rFonts w:ascii="Corbel" w:hAnsi="Corbel" w:cs="Arial"/>
        </w:rPr>
        <w:t>ostalih</w:t>
      </w:r>
      <w:r w:rsidR="00212677" w:rsidRPr="007D4FCA">
        <w:rPr>
          <w:rFonts w:ascii="Corbel" w:hAnsi="Corbel" w:cs="Arial"/>
        </w:rPr>
        <w:t xml:space="preserve"> imamo tendenciju k </w:t>
      </w:r>
      <w:proofErr w:type="spellStart"/>
      <w:r w:rsidR="00212677" w:rsidRPr="007D4FCA">
        <w:rPr>
          <w:rFonts w:ascii="Corbel" w:hAnsi="Corbel" w:cs="Arial"/>
        </w:rPr>
        <w:t>monostrukturnom</w:t>
      </w:r>
      <w:proofErr w:type="spellEnd"/>
      <w:r w:rsidR="00212677" w:rsidRPr="007D4FCA">
        <w:rPr>
          <w:rFonts w:ascii="Corbel" w:hAnsi="Corbel" w:cs="Arial"/>
        </w:rPr>
        <w:t xml:space="preserve"> gospodarstvu (dominacija jedne djelatnosti). Očito da se transformacija i rast konkurentnosti tih djelatnosti odvijaju vrlo sporo i teško, odnosno da to nepovoljno utječe na demografska i soc</w:t>
      </w:r>
      <w:r w:rsidR="007F001A" w:rsidRPr="007D4FCA">
        <w:rPr>
          <w:rFonts w:ascii="Corbel" w:hAnsi="Corbel" w:cs="Arial"/>
        </w:rPr>
        <w:t xml:space="preserve">ijalna kretanja u tim gradovima </w:t>
      </w:r>
      <w:sdt>
        <w:sdtPr>
          <w:rPr>
            <w:rFonts w:ascii="Corbel" w:hAnsi="Corbel" w:cs="Arial"/>
          </w:rPr>
          <w:id w:val="1000465884"/>
          <w:citation/>
        </w:sdtPr>
        <w:sdtContent>
          <w:r w:rsidR="007F001A" w:rsidRPr="007D4FCA">
            <w:rPr>
              <w:rFonts w:ascii="Corbel" w:hAnsi="Corbel" w:cs="Arial"/>
            </w:rPr>
            <w:fldChar w:fldCharType="begin"/>
          </w:r>
          <w:r w:rsidR="007F001A" w:rsidRPr="007D4FCA">
            <w:rPr>
              <w:rFonts w:ascii="Corbel" w:hAnsi="Corbel" w:cs="Arial"/>
            </w:rPr>
            <w:instrText xml:space="preserve"> CITATION Čav12 \l 1050 </w:instrText>
          </w:r>
          <w:r w:rsidR="007F001A" w:rsidRPr="007D4FCA">
            <w:rPr>
              <w:rFonts w:ascii="Corbel" w:hAnsi="Corbel" w:cs="Arial"/>
            </w:rPr>
            <w:fldChar w:fldCharType="separate"/>
          </w:r>
          <w:r w:rsidR="007F001A" w:rsidRPr="007D4FCA">
            <w:rPr>
              <w:rFonts w:ascii="Corbel" w:hAnsi="Corbel" w:cs="Arial"/>
              <w:noProof/>
            </w:rPr>
            <w:t>(Čavrak, 2012)</w:t>
          </w:r>
          <w:r w:rsidR="007F001A" w:rsidRPr="007D4FCA">
            <w:rPr>
              <w:rFonts w:ascii="Corbel" w:hAnsi="Corbel" w:cs="Arial"/>
            </w:rPr>
            <w:fldChar w:fldCharType="end"/>
          </w:r>
        </w:sdtContent>
      </w:sdt>
      <w:r w:rsidR="007F001A" w:rsidRPr="007D4FCA">
        <w:rPr>
          <w:rFonts w:ascii="Corbel" w:hAnsi="Corbel" w:cs="Arial"/>
        </w:rPr>
        <w:t>.</w:t>
      </w:r>
    </w:p>
    <w:p w:rsidR="003379E1" w:rsidRPr="007D4FCA" w:rsidRDefault="00CE4912" w:rsidP="003D0416">
      <w:pPr>
        <w:jc w:val="both"/>
        <w:rPr>
          <w:rFonts w:ascii="Corbel" w:hAnsi="Corbel" w:cs="Arial"/>
        </w:rPr>
      </w:pPr>
      <w:r w:rsidRPr="007D4FCA">
        <w:rPr>
          <w:rFonts w:ascii="Corbel" w:hAnsi="Corbel" w:cs="Arial"/>
        </w:rPr>
        <w:t xml:space="preserve">Nasuprot toj skupini su gradovi (među kojima je i Zadar) </w:t>
      </w:r>
      <w:r w:rsidRPr="007D4FCA">
        <w:rPr>
          <w:rFonts w:ascii="Corbel" w:hAnsi="Corbel" w:cs="Arial"/>
          <w:b/>
        </w:rPr>
        <w:t>s relativno širokom gospodarskom strukturom koji zadržavaju pozitivnu demografsku dinamiku i koji su pokazali veću otpornost na pad zaposlenosti u aktualnoj gospodarskoj krizi</w:t>
      </w:r>
      <w:r w:rsidRPr="007D4FCA">
        <w:rPr>
          <w:rFonts w:ascii="Corbel" w:hAnsi="Corbel" w:cs="Arial"/>
        </w:rPr>
        <w:t>.</w:t>
      </w:r>
    </w:p>
    <w:p w:rsidR="00412AD8" w:rsidRPr="002E1FED" w:rsidRDefault="0041452A" w:rsidP="002E1FED">
      <w:pPr>
        <w:pStyle w:val="Naslov1"/>
        <w:spacing w:after="240"/>
      </w:pPr>
      <w:bookmarkStart w:id="33" w:name="_Toc351539735"/>
      <w:r w:rsidRPr="002E1FED">
        <w:t>4</w:t>
      </w:r>
      <w:r w:rsidR="00412AD8" w:rsidRPr="002E1FED">
        <w:t>. Ocjena dinamike razvoja gospodarskih sektora grada Zadra</w:t>
      </w:r>
      <w:bookmarkEnd w:id="33"/>
      <w:r w:rsidR="00412AD8" w:rsidRPr="002E1FED">
        <w:t xml:space="preserve"> </w:t>
      </w:r>
    </w:p>
    <w:p w:rsidR="00412AD8" w:rsidRPr="00002406" w:rsidRDefault="00412AD8" w:rsidP="00412AD8">
      <w:pPr>
        <w:spacing w:line="240" w:lineRule="auto"/>
        <w:jc w:val="both"/>
        <w:rPr>
          <w:rFonts w:ascii="Corbel" w:hAnsi="Corbel" w:cs="Arial"/>
        </w:rPr>
      </w:pPr>
      <w:r w:rsidRPr="00002406">
        <w:rPr>
          <w:rFonts w:ascii="Corbel" w:hAnsi="Corbel" w:cs="Arial"/>
        </w:rPr>
        <w:t>Sljedećom slikom prikazano je kretanje zaposlenosti po djelatnostima za Zadar, RH i Istarsku županiju. Istra je i u ovom primjeru uzeta kao referentni okvir za usporedbu. Prema Istri možemo usporediti koliko je rast u Zadru visok ili nizak.</w:t>
      </w:r>
    </w:p>
    <w:p w:rsidR="00412AD8" w:rsidRDefault="00412AD8" w:rsidP="00412AD8">
      <w:pPr>
        <w:pStyle w:val="Opisslike"/>
        <w:keepNext/>
        <w:jc w:val="both"/>
      </w:pPr>
      <w:bookmarkStart w:id="34" w:name="_Toc351538481"/>
      <w:r>
        <w:t xml:space="preserve">Slika </w:t>
      </w:r>
      <w:fldSimple w:instr=" SEQ Slika \* ARABIC ">
        <w:r w:rsidR="001E7A09">
          <w:rPr>
            <w:noProof/>
          </w:rPr>
          <w:t>18</w:t>
        </w:r>
      </w:fldSimple>
      <w:r>
        <w:t>.: Promjena zaposlenosti 2001.-2008. po djelatnostima za RH, grad Zadar i Istarsku županiju, NKD 2002</w:t>
      </w:r>
      <w:bookmarkEnd w:id="34"/>
    </w:p>
    <w:p w:rsidR="00412AD8" w:rsidRDefault="00412AD8" w:rsidP="00412AD8">
      <w:pPr>
        <w:spacing w:after="0"/>
        <w:jc w:val="both"/>
        <w:rPr>
          <w:rFonts w:ascii="Times New Roman" w:hAnsi="Times New Roman" w:cs="Arial"/>
        </w:rPr>
      </w:pPr>
      <w:r>
        <w:rPr>
          <w:noProof/>
          <w:lang w:eastAsia="hr-HR"/>
        </w:rPr>
        <w:drawing>
          <wp:inline distT="0" distB="0" distL="0" distR="0" wp14:anchorId="577A2966" wp14:editId="04930F2A">
            <wp:extent cx="5858540" cy="3168502"/>
            <wp:effectExtent l="0" t="0" r="27940" b="13335"/>
            <wp:docPr id="37" name="Grafikon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12AD8" w:rsidRDefault="00412AD8" w:rsidP="00412AD8">
      <w:pPr>
        <w:spacing w:line="240" w:lineRule="auto"/>
        <w:jc w:val="both"/>
        <w:rPr>
          <w:rFonts w:ascii="Times New Roman" w:hAnsi="Times New Roman" w:cs="Arial"/>
        </w:rPr>
      </w:pPr>
      <w:r>
        <w:rPr>
          <w:rFonts w:ascii="Times New Roman" w:hAnsi="Times New Roman" w:cs="Arial"/>
        </w:rPr>
        <w:t>Izvor: DZS, Statističko izvješće, obrada: ZADRA</w:t>
      </w:r>
    </w:p>
    <w:p w:rsidR="00412AD8" w:rsidRPr="00002406" w:rsidRDefault="00412AD8" w:rsidP="00412AD8">
      <w:pPr>
        <w:spacing w:line="240" w:lineRule="auto"/>
        <w:jc w:val="both"/>
        <w:rPr>
          <w:rFonts w:ascii="Corbel" w:hAnsi="Corbel" w:cs="Arial"/>
        </w:rPr>
      </w:pPr>
      <w:r w:rsidRPr="00566EEA">
        <w:rPr>
          <w:rFonts w:ascii="Corbel" w:hAnsi="Corbel" w:cs="Arial"/>
        </w:rPr>
        <w:t xml:space="preserve">Već na prvi pogled vidljivi su nedostaci zadarskog gospodarstva u odnosu na RH i Istru. U ni jednoj </w:t>
      </w:r>
      <w:r w:rsidR="00770F8E" w:rsidRPr="00566EEA">
        <w:rPr>
          <w:rFonts w:ascii="Corbel" w:hAnsi="Corbel" w:cs="Arial"/>
        </w:rPr>
        <w:t xml:space="preserve">gospodarskoj </w:t>
      </w:r>
      <w:r w:rsidRPr="00566EEA">
        <w:rPr>
          <w:rFonts w:ascii="Corbel" w:hAnsi="Corbel" w:cs="Arial"/>
        </w:rPr>
        <w:t>djelatnosti Zadar (plavi stupac) nije rasta</w:t>
      </w:r>
      <w:r w:rsidR="00770F8E" w:rsidRPr="00566EEA">
        <w:rPr>
          <w:rFonts w:ascii="Corbel" w:hAnsi="Corbel" w:cs="Arial"/>
        </w:rPr>
        <w:t>o više od prosjeka RH ili Istre</w:t>
      </w:r>
      <w:r w:rsidRPr="00566EEA">
        <w:rPr>
          <w:rFonts w:ascii="Corbel" w:hAnsi="Corbel" w:cs="Arial"/>
        </w:rPr>
        <w:t xml:space="preserve">. Premda je gospodarstvo grada u navedenom razdoblju naraslo za 20,14 % (RH 11,13%; Istra 20,24%) to </w:t>
      </w:r>
      <w:r w:rsidRPr="00566EEA">
        <w:rPr>
          <w:rFonts w:ascii="Corbel" w:hAnsi="Corbel" w:cs="Arial"/>
          <w:b/>
        </w:rPr>
        <w:t xml:space="preserve">je ponajviše rezultat rasta javnog sektora (L, M, N), zatim trgovine (G) i građevinskog sektora (F) </w:t>
      </w:r>
      <w:r w:rsidRPr="00566EEA">
        <w:rPr>
          <w:rFonts w:ascii="Corbel" w:hAnsi="Corbel" w:cs="Arial"/>
          <w:b/>
        </w:rPr>
        <w:lastRenderedPageBreak/>
        <w:t>te poslovanj</w:t>
      </w:r>
      <w:r w:rsidR="005359D7" w:rsidRPr="00566EEA">
        <w:rPr>
          <w:rFonts w:ascii="Corbel" w:hAnsi="Corbel" w:cs="Arial"/>
          <w:b/>
        </w:rPr>
        <w:t>a nekretninama, iznajmljivanje, te</w:t>
      </w:r>
      <w:r w:rsidRPr="00566EEA">
        <w:rPr>
          <w:rFonts w:ascii="Corbel" w:hAnsi="Corbel" w:cs="Arial"/>
          <w:b/>
        </w:rPr>
        <w:t xml:space="preserve"> poslovne </w:t>
      </w:r>
      <w:r w:rsidR="005359D7" w:rsidRPr="00566EEA">
        <w:rPr>
          <w:rFonts w:ascii="Corbel" w:hAnsi="Corbel" w:cs="Arial"/>
          <w:b/>
        </w:rPr>
        <w:t xml:space="preserve">i stručne </w:t>
      </w:r>
      <w:r w:rsidRPr="00566EEA">
        <w:rPr>
          <w:rFonts w:ascii="Corbel" w:hAnsi="Corbel" w:cs="Arial"/>
          <w:b/>
        </w:rPr>
        <w:t>usluge (K)</w:t>
      </w:r>
      <w:r w:rsidR="005359D7" w:rsidRPr="00566EEA">
        <w:rPr>
          <w:rStyle w:val="Referencafusnote"/>
          <w:rFonts w:ascii="Corbel" w:hAnsi="Corbel" w:cs="Arial"/>
          <w:b/>
        </w:rPr>
        <w:footnoteReference w:id="13"/>
      </w:r>
      <w:r w:rsidRPr="00566EEA">
        <w:rPr>
          <w:rFonts w:ascii="Corbel" w:hAnsi="Corbel" w:cs="Arial"/>
        </w:rPr>
        <w:t xml:space="preserve">. Rast ovih sektora stvorio je ukupno </w:t>
      </w:r>
      <w:r w:rsidRPr="00566EEA">
        <w:rPr>
          <w:rFonts w:ascii="Corbel" w:hAnsi="Corbel" w:cs="Arial"/>
          <w:b/>
        </w:rPr>
        <w:t>4.486 novih radnih mjesta</w:t>
      </w:r>
      <w:r w:rsidRPr="00566EEA">
        <w:rPr>
          <w:rFonts w:ascii="Corbel" w:hAnsi="Corbel" w:cs="Arial"/>
        </w:rPr>
        <w:t xml:space="preserve"> u Zadru (od ukupno 3.722 novo stvorena radna mjesta za sve sektore</w:t>
      </w:r>
      <w:r w:rsidRPr="00566EEA">
        <w:rPr>
          <w:rStyle w:val="Referencafusnote"/>
          <w:rFonts w:ascii="Corbel" w:hAnsi="Corbel" w:cs="Arial"/>
        </w:rPr>
        <w:footnoteReference w:id="14"/>
      </w:r>
      <w:r w:rsidRPr="00566EEA">
        <w:rPr>
          <w:rFonts w:ascii="Corbel" w:hAnsi="Corbel" w:cs="Arial"/>
        </w:rPr>
        <w:t xml:space="preserve">). Ostali sektori uz iznimku </w:t>
      </w:r>
      <w:r w:rsidRPr="00566EEA">
        <w:rPr>
          <w:rFonts w:ascii="Corbel" w:hAnsi="Corbel" w:cs="Arial"/>
          <w:b/>
        </w:rPr>
        <w:t>financijskog sektora (J)</w:t>
      </w:r>
      <w:r w:rsidRPr="00566EEA">
        <w:rPr>
          <w:rFonts w:ascii="Corbel" w:hAnsi="Corbel" w:cs="Arial"/>
        </w:rPr>
        <w:t xml:space="preserve"> koji čini manji dio gospodarstva, nisu se uspjeli transformirati i doseći potrebnu razinu konkurentnosti. Veliki sektori </w:t>
      </w:r>
      <w:r w:rsidRPr="00566EEA">
        <w:rPr>
          <w:rFonts w:ascii="Corbel" w:hAnsi="Corbel" w:cs="Arial"/>
          <w:b/>
        </w:rPr>
        <w:t>poput prerađivačke industrije su značajno opali</w:t>
      </w:r>
      <w:r w:rsidRPr="00566EEA">
        <w:rPr>
          <w:rFonts w:ascii="Corbel" w:hAnsi="Corbel" w:cs="Arial"/>
        </w:rPr>
        <w:t xml:space="preserve"> u godinama rasta, što je zabrinjavajući podatak koji ukazuje na iznimne strukturne slabosti zadarske industrije. </w:t>
      </w:r>
      <w:r w:rsidRPr="00566EEA">
        <w:rPr>
          <w:rFonts w:ascii="Corbel" w:hAnsi="Corbel" w:cs="Arial"/>
          <w:b/>
        </w:rPr>
        <w:t>Pad prerađivačke industrije u Zadru</w:t>
      </w:r>
      <w:r w:rsidRPr="00566EEA">
        <w:rPr>
          <w:rFonts w:ascii="Corbel" w:hAnsi="Corbel" w:cs="Arial"/>
        </w:rPr>
        <w:t xml:space="preserve"> </w:t>
      </w:r>
      <w:r w:rsidRPr="00566EEA">
        <w:rPr>
          <w:rFonts w:ascii="Corbel" w:hAnsi="Corbel" w:cs="Arial"/>
          <w:b/>
        </w:rPr>
        <w:t>značajno je veći od RH prosjeka</w:t>
      </w:r>
      <w:r w:rsidRPr="00566EEA">
        <w:rPr>
          <w:rFonts w:ascii="Corbel" w:hAnsi="Corbel" w:cs="Arial"/>
        </w:rPr>
        <w:t>. Iako se ne konkurentnost ovog sektora može povezati sa ne konkurentnošću i strukturnim problemima nacionalne prerađivačke industrije očito je kako se ostaci  snažnih prerađivačkih poduzeća zadarske prerađivačke industrije iz 80-ih i 90-ih godina nisu uspjela transformirati u godinama nakon osamostaljenja, te su "nastavili s propadanjem" i u razdoblju od 2001. na ovamo.</w:t>
      </w:r>
    </w:p>
    <w:p w:rsidR="00412AD8" w:rsidRPr="00926B73" w:rsidRDefault="00412AD8" w:rsidP="00412AD8">
      <w:pPr>
        <w:spacing w:line="240" w:lineRule="auto"/>
        <w:jc w:val="both"/>
        <w:rPr>
          <w:rFonts w:ascii="Corbel" w:hAnsi="Corbel" w:cs="Arial"/>
        </w:rPr>
      </w:pPr>
      <w:r w:rsidRPr="00926B73">
        <w:rPr>
          <w:rFonts w:ascii="Corbel" w:hAnsi="Corbel" w:cs="Arial"/>
          <w:b/>
        </w:rPr>
        <w:t>Hoteli i restorani</w:t>
      </w:r>
      <w:r w:rsidRPr="00926B73">
        <w:rPr>
          <w:rFonts w:ascii="Corbel" w:hAnsi="Corbel" w:cs="Arial"/>
        </w:rPr>
        <w:t xml:space="preserve"> također bilježe pad zaposlenih u navedenom  razdoblju, iako je ugostiteljska djelatnost čvrsto vezana uz turizam koji posljednjih godina bilježi pozitivne rezultate. No, činjenica je da broj zaposlenih u ugostiteljskim djelatnostima nije rastao nakon 2001. godine</w:t>
      </w:r>
      <w:r w:rsidR="00926B73" w:rsidRPr="00926B73">
        <w:rPr>
          <w:rFonts w:ascii="Corbel" w:hAnsi="Corbel" w:cs="Arial"/>
        </w:rPr>
        <w:t xml:space="preserve"> prema podacima DZS-a. Ipak, prema podacima FINA-e ovaj sektor bilježi kontinuirani rast u navedenom razdoblju</w:t>
      </w:r>
      <w:r w:rsidRPr="00926B73">
        <w:rPr>
          <w:rFonts w:ascii="Corbel" w:hAnsi="Corbel" w:cs="Arial"/>
        </w:rPr>
        <w:t xml:space="preserve">. U posljednjih nekoliko godina vidljivi su pomaci pa je tako izgrađen hotelski smještaj u Punta skali, hotel Bastion na Poluotoku i </w:t>
      </w:r>
      <w:proofErr w:type="spellStart"/>
      <w:r w:rsidRPr="00926B73">
        <w:rPr>
          <w:rFonts w:ascii="Corbel" w:hAnsi="Corbel" w:cs="Arial"/>
        </w:rPr>
        <w:t>Kalelargi</w:t>
      </w:r>
      <w:proofErr w:type="spellEnd"/>
      <w:r w:rsidRPr="00926B73">
        <w:rPr>
          <w:rFonts w:ascii="Corbel" w:hAnsi="Corbel" w:cs="Arial"/>
        </w:rPr>
        <w:t xml:space="preserve">, te Motel na Donatu. </w:t>
      </w:r>
    </w:p>
    <w:p w:rsidR="00412AD8" w:rsidRPr="00926B73" w:rsidRDefault="00412AD8" w:rsidP="00412AD8">
      <w:pPr>
        <w:spacing w:line="240" w:lineRule="auto"/>
        <w:jc w:val="both"/>
        <w:rPr>
          <w:rFonts w:ascii="Corbel" w:hAnsi="Corbel" w:cs="Arial"/>
        </w:rPr>
      </w:pPr>
      <w:r w:rsidRPr="00926B73">
        <w:rPr>
          <w:rFonts w:ascii="Corbel" w:hAnsi="Corbel" w:cs="Arial"/>
          <w:b/>
        </w:rPr>
        <w:t>Prijevoz i skladištenje</w:t>
      </w:r>
      <w:r w:rsidRPr="00926B73">
        <w:rPr>
          <w:rFonts w:ascii="Corbel" w:hAnsi="Corbel" w:cs="Arial"/>
        </w:rPr>
        <w:t xml:space="preserve"> kao jedna od djelatnosti "uzdanica" Zadarskog gospodarstva sa prepoznatljivim tvrtkama također u navedenom  razdoblju nisu sačuvale zaposlenost, što svjedoči o problemima u tim tvrtkama koje se pokušavaju izboriti za poziciju na globalnom konkurentskom tržištu.</w:t>
      </w:r>
    </w:p>
    <w:p w:rsidR="00412AD8" w:rsidRPr="00926B73" w:rsidRDefault="00412AD8" w:rsidP="00412AD8">
      <w:pPr>
        <w:spacing w:line="240" w:lineRule="auto"/>
        <w:jc w:val="both"/>
        <w:rPr>
          <w:rFonts w:ascii="Corbel" w:hAnsi="Corbel" w:cs="Arial"/>
        </w:rPr>
      </w:pPr>
      <w:r w:rsidRPr="00926B73">
        <w:rPr>
          <w:rFonts w:ascii="Corbel" w:hAnsi="Corbel" w:cs="Arial"/>
        </w:rPr>
        <w:t>Djelatnosti "dobitnici" koje su osigurale kontinuirani rast i stabilnost</w:t>
      </w:r>
      <w:r w:rsidR="00926B73" w:rsidRPr="00926B73">
        <w:rPr>
          <w:rFonts w:ascii="Corbel" w:hAnsi="Corbel" w:cs="Arial"/>
        </w:rPr>
        <w:t xml:space="preserve"> </w:t>
      </w:r>
      <w:r w:rsidRPr="00926B73">
        <w:rPr>
          <w:rFonts w:ascii="Corbel" w:hAnsi="Corbel" w:cs="Arial"/>
        </w:rPr>
        <w:t>su djelatnosti poslovnih usluga poput</w:t>
      </w:r>
      <w:r w:rsidRPr="00926B73">
        <w:rPr>
          <w:rFonts w:ascii="Corbel" w:hAnsi="Corbel" w:cs="Arial"/>
          <w:b/>
        </w:rPr>
        <w:t xml:space="preserve"> </w:t>
      </w:r>
      <w:proofErr w:type="spellStart"/>
      <w:r w:rsidRPr="00926B73">
        <w:rPr>
          <w:rFonts w:ascii="Corbel" w:hAnsi="Corbel" w:cs="Arial"/>
          <w:b/>
        </w:rPr>
        <w:t>chartera</w:t>
      </w:r>
      <w:proofErr w:type="spellEnd"/>
      <w:r w:rsidRPr="00926B73">
        <w:rPr>
          <w:rFonts w:ascii="Corbel" w:hAnsi="Corbel" w:cs="Arial"/>
          <w:b/>
        </w:rPr>
        <w:t>, zatim djelatnosti putničkih agencija i drugih poslovnih usluga (pravne i računovodstvene usluge, projektantske usluge, promidžbene, grafičke, računalne i druge usluge)</w:t>
      </w:r>
      <w:r w:rsidRPr="00926B73">
        <w:rPr>
          <w:rFonts w:ascii="Corbel" w:hAnsi="Corbel" w:cs="Arial"/>
        </w:rPr>
        <w:t xml:space="preserve"> (K). Iako čine oko 5% gospodarstva, tvrtke iz ovog sektora uspijevaju pronaći tržišnu nišu i ostati konkurentne. Upravo takvi sektori trebaju biti baza na koju će se nasloniti budućnost gospodarskog razvoja grada. </w:t>
      </w:r>
    </w:p>
    <w:p w:rsidR="0067275F" w:rsidRPr="00B37C59" w:rsidRDefault="0041452A" w:rsidP="00B37C59">
      <w:pPr>
        <w:pStyle w:val="Naslov2"/>
        <w:spacing w:after="120"/>
      </w:pPr>
      <w:bookmarkStart w:id="35" w:name="_Toc351539736"/>
      <w:r w:rsidRPr="00B37C59">
        <w:t>4</w:t>
      </w:r>
      <w:r w:rsidR="00412AD8" w:rsidRPr="00B37C59">
        <w:t xml:space="preserve">.1 </w:t>
      </w:r>
      <w:r w:rsidR="0067275F" w:rsidRPr="00B37C59">
        <w:t xml:space="preserve">Analiza udjela </w:t>
      </w:r>
      <w:r w:rsidR="0052464D" w:rsidRPr="00B37C59">
        <w:t>(</w:t>
      </w:r>
      <w:proofErr w:type="spellStart"/>
      <w:r w:rsidR="0052464D" w:rsidRPr="00B37C59">
        <w:t>Shift</w:t>
      </w:r>
      <w:proofErr w:type="spellEnd"/>
      <w:r w:rsidR="0052464D" w:rsidRPr="00B37C59">
        <w:t>-</w:t>
      </w:r>
      <w:proofErr w:type="spellStart"/>
      <w:r w:rsidR="0052464D" w:rsidRPr="00B37C59">
        <w:t>share</w:t>
      </w:r>
      <w:proofErr w:type="spellEnd"/>
      <w:r w:rsidR="0052464D" w:rsidRPr="00B37C59">
        <w:t>)</w:t>
      </w:r>
      <w:bookmarkEnd w:id="35"/>
    </w:p>
    <w:p w:rsidR="00523629" w:rsidRPr="007D4FCA" w:rsidRDefault="00523629" w:rsidP="00523629">
      <w:pPr>
        <w:spacing w:after="120" w:line="240" w:lineRule="auto"/>
        <w:jc w:val="both"/>
        <w:rPr>
          <w:rFonts w:ascii="Corbel" w:hAnsi="Corbel" w:cs="Arial"/>
        </w:rPr>
      </w:pPr>
      <w:proofErr w:type="spellStart"/>
      <w:r w:rsidRPr="007D4FCA">
        <w:rPr>
          <w:rFonts w:ascii="Corbel" w:hAnsi="Corbel" w:cs="Arial"/>
        </w:rPr>
        <w:t>Shift</w:t>
      </w:r>
      <w:proofErr w:type="spellEnd"/>
      <w:r w:rsidRPr="007D4FCA">
        <w:rPr>
          <w:rFonts w:ascii="Corbel" w:hAnsi="Corbel" w:cs="Arial"/>
        </w:rPr>
        <w:t>-</w:t>
      </w:r>
      <w:proofErr w:type="spellStart"/>
      <w:r w:rsidRPr="007D4FCA">
        <w:rPr>
          <w:rFonts w:ascii="Corbel" w:hAnsi="Corbel" w:cs="Arial"/>
        </w:rPr>
        <w:t>share</w:t>
      </w:r>
      <w:proofErr w:type="spellEnd"/>
      <w:r w:rsidRPr="007D4FCA">
        <w:rPr>
          <w:rFonts w:ascii="Corbel" w:hAnsi="Corbel" w:cs="Arial"/>
        </w:rPr>
        <w:t xml:space="preserve"> analiza pruža retrospektivan pogled na uzroke ekonomskog rasta pojedinih regija. Tom tehnikom se regionalni rast dijeli u tri komponente:</w:t>
      </w:r>
    </w:p>
    <w:p w:rsidR="00523629" w:rsidRPr="007D4FCA" w:rsidRDefault="00523629" w:rsidP="00DA300B">
      <w:pPr>
        <w:pStyle w:val="Default"/>
        <w:numPr>
          <w:ilvl w:val="0"/>
          <w:numId w:val="14"/>
        </w:numPr>
        <w:pBdr>
          <w:top w:val="single" w:sz="4" w:space="1" w:color="auto"/>
          <w:left w:val="single" w:sz="4" w:space="4" w:color="auto"/>
          <w:bottom w:val="single" w:sz="4" w:space="1" w:color="auto"/>
          <w:right w:val="single" w:sz="4" w:space="4" w:color="auto"/>
        </w:pBdr>
        <w:rPr>
          <w:rFonts w:ascii="Corbel" w:hAnsi="Corbel"/>
          <w:color w:val="auto"/>
          <w:sz w:val="22"/>
          <w:szCs w:val="22"/>
        </w:rPr>
      </w:pPr>
      <w:r w:rsidRPr="007D4FCA">
        <w:rPr>
          <w:rFonts w:ascii="Corbel" w:hAnsi="Corbel"/>
          <w:color w:val="auto"/>
          <w:sz w:val="22"/>
          <w:szCs w:val="22"/>
        </w:rPr>
        <w:t xml:space="preserve">Rast koji se može pripisati učincima nacionalne ekonomije. </w:t>
      </w:r>
    </w:p>
    <w:p w:rsidR="00523629" w:rsidRPr="007D4FCA" w:rsidRDefault="00523629" w:rsidP="00DA300B">
      <w:pPr>
        <w:pStyle w:val="Default"/>
        <w:numPr>
          <w:ilvl w:val="0"/>
          <w:numId w:val="14"/>
        </w:numPr>
        <w:pBdr>
          <w:top w:val="single" w:sz="4" w:space="1" w:color="auto"/>
          <w:left w:val="single" w:sz="4" w:space="4" w:color="auto"/>
          <w:bottom w:val="single" w:sz="4" w:space="1" w:color="auto"/>
          <w:right w:val="single" w:sz="4" w:space="4" w:color="auto"/>
        </w:pBdr>
        <w:rPr>
          <w:rFonts w:ascii="Corbel" w:hAnsi="Corbel"/>
          <w:color w:val="auto"/>
          <w:sz w:val="22"/>
          <w:szCs w:val="22"/>
        </w:rPr>
      </w:pPr>
      <w:r w:rsidRPr="007F6504">
        <w:rPr>
          <w:rFonts w:ascii="Corbel" w:hAnsi="Corbel"/>
          <w:sz w:val="22"/>
        </w:rPr>
        <w:t>Rast koji se može pripisati kombinaciji brže ili sporije rastućih sektora u odnosu na prosjek</w:t>
      </w:r>
      <w:r w:rsidR="00445AEA" w:rsidRPr="007D4FCA">
        <w:rPr>
          <w:rFonts w:ascii="Corbel" w:hAnsi="Corbel"/>
        </w:rPr>
        <w:t xml:space="preserve">. </w:t>
      </w:r>
    </w:p>
    <w:p w:rsidR="00523629" w:rsidRPr="007D4FCA" w:rsidRDefault="00445AEA" w:rsidP="00DA300B">
      <w:pPr>
        <w:pStyle w:val="Odlomakpopisa"/>
        <w:numPr>
          <w:ilvl w:val="0"/>
          <w:numId w:val="14"/>
        </w:numPr>
        <w:pBdr>
          <w:top w:val="single" w:sz="4" w:space="1" w:color="auto"/>
          <w:left w:val="single" w:sz="4" w:space="4" w:color="auto"/>
          <w:bottom w:val="single" w:sz="4" w:space="1" w:color="auto"/>
          <w:right w:val="single" w:sz="4" w:space="4" w:color="auto"/>
        </w:pBdr>
        <w:spacing w:after="120" w:line="240" w:lineRule="auto"/>
        <w:jc w:val="both"/>
        <w:rPr>
          <w:rFonts w:ascii="Corbel" w:hAnsi="Corbel" w:cs="Arial"/>
        </w:rPr>
      </w:pPr>
      <w:r w:rsidRPr="007D4FCA">
        <w:rPr>
          <w:rFonts w:ascii="Corbel" w:hAnsi="Corbel" w:cs="Arial"/>
        </w:rPr>
        <w:t>Rast koji se može pripisati konkurentnosti lokalnih sektora</w:t>
      </w:r>
      <w:r w:rsidR="00DA300B" w:rsidRPr="007D4FCA">
        <w:rPr>
          <w:rFonts w:ascii="Corbel" w:hAnsi="Corbel" w:cs="Arial"/>
        </w:rPr>
        <w:t>.</w:t>
      </w:r>
    </w:p>
    <w:p w:rsidR="00DA300B" w:rsidRPr="007D4FCA" w:rsidRDefault="00DA300B" w:rsidP="00DA300B">
      <w:pPr>
        <w:spacing w:line="240" w:lineRule="auto"/>
        <w:jc w:val="both"/>
        <w:rPr>
          <w:rFonts w:ascii="Corbel" w:hAnsi="Corbel" w:cs="Arial"/>
        </w:rPr>
      </w:pPr>
      <w:r w:rsidRPr="007D4FCA">
        <w:rPr>
          <w:rFonts w:ascii="Corbel" w:hAnsi="Corbel" w:cs="Arial"/>
        </w:rPr>
        <w:t xml:space="preserve">Ova tehnika olakšava usporedbu između lokalne i nacionalne ekonomije (ili usporedbu s nekom drugom lokalnom ekonomijom). Specifično, </w:t>
      </w:r>
      <w:proofErr w:type="spellStart"/>
      <w:r w:rsidRPr="007D4FCA">
        <w:rPr>
          <w:rFonts w:ascii="Corbel" w:hAnsi="Corbel" w:cs="Arial"/>
        </w:rPr>
        <w:t>shift</w:t>
      </w:r>
      <w:proofErr w:type="spellEnd"/>
      <w:r w:rsidRPr="007D4FCA">
        <w:rPr>
          <w:rFonts w:ascii="Corbel" w:hAnsi="Corbel" w:cs="Arial"/>
        </w:rPr>
        <w:t>-</w:t>
      </w:r>
      <w:proofErr w:type="spellStart"/>
      <w:r w:rsidRPr="007D4FCA">
        <w:rPr>
          <w:rFonts w:ascii="Corbel" w:hAnsi="Corbel" w:cs="Arial"/>
        </w:rPr>
        <w:t>share</w:t>
      </w:r>
      <w:proofErr w:type="spellEnd"/>
      <w:r w:rsidRPr="007D4FCA">
        <w:rPr>
          <w:rFonts w:ascii="Corbel" w:hAnsi="Corbel" w:cs="Arial"/>
        </w:rPr>
        <w:t xml:space="preserve"> analiza pomaže da u lokalnoj ekonomiji ustanovimo brzo i sporo rastuće sektore u odnosu na nacionalne prosjeke. Također nam pomaže da objasnimo razlike. Na primjer: </w:t>
      </w:r>
    </w:p>
    <w:p w:rsidR="00DA300B" w:rsidRPr="007D4FCA" w:rsidRDefault="00DA300B" w:rsidP="00DA300B">
      <w:pPr>
        <w:pStyle w:val="Odlomakpopisa"/>
        <w:numPr>
          <w:ilvl w:val="0"/>
          <w:numId w:val="15"/>
        </w:numPr>
        <w:spacing w:line="240" w:lineRule="auto"/>
        <w:jc w:val="both"/>
        <w:rPr>
          <w:rFonts w:ascii="Corbel" w:hAnsi="Corbel" w:cs="Arial"/>
        </w:rPr>
      </w:pPr>
      <w:r w:rsidRPr="007D4FCA">
        <w:rPr>
          <w:rFonts w:ascii="Corbel" w:hAnsi="Corbel" w:cs="Arial"/>
        </w:rPr>
        <w:t xml:space="preserve">Proizlaze li promatrane razlike u stopama rasta iz razlike u sastavu zaposlenosti pronađenom u lokalnoj ekonomiji relativno u odnosu na nacionalnu razinu? </w:t>
      </w:r>
    </w:p>
    <w:p w:rsidR="00DA300B" w:rsidRPr="007D4FCA" w:rsidRDefault="00DA300B" w:rsidP="00DA300B">
      <w:pPr>
        <w:pStyle w:val="Odlomakpopisa"/>
        <w:numPr>
          <w:ilvl w:val="0"/>
          <w:numId w:val="15"/>
        </w:numPr>
        <w:spacing w:line="240" w:lineRule="auto"/>
        <w:jc w:val="both"/>
        <w:rPr>
          <w:rFonts w:ascii="Corbel" w:hAnsi="Corbel" w:cs="Arial"/>
        </w:rPr>
      </w:pPr>
      <w:r w:rsidRPr="007D4FCA">
        <w:rPr>
          <w:rFonts w:ascii="Corbel" w:hAnsi="Corbel" w:cs="Arial"/>
        </w:rPr>
        <w:t xml:space="preserve">Ili razlike proizlaze iz konkurentskih prednosti specifične lokalne ekonomije u odnosu na nacionalnu ekonomiju </w:t>
      </w:r>
      <w:sdt>
        <w:sdtPr>
          <w:rPr>
            <w:rFonts w:ascii="Corbel" w:hAnsi="Corbel" w:cs="Arial"/>
          </w:rPr>
          <w:id w:val="405042950"/>
          <w:citation/>
        </w:sdtPr>
        <w:sdtContent>
          <w:r w:rsidRPr="007D4FCA">
            <w:rPr>
              <w:rFonts w:ascii="Corbel" w:hAnsi="Corbel" w:cs="Arial"/>
            </w:rPr>
            <w:fldChar w:fldCharType="begin"/>
          </w:r>
          <w:r w:rsidRPr="007D4FCA">
            <w:rPr>
              <w:rFonts w:ascii="Corbel" w:hAnsi="Corbel" w:cs="Arial"/>
            </w:rPr>
            <w:instrText xml:space="preserve"> CITATION Čav12 \l 1050 </w:instrText>
          </w:r>
          <w:r w:rsidRPr="007D4FCA">
            <w:rPr>
              <w:rFonts w:ascii="Corbel" w:hAnsi="Corbel" w:cs="Arial"/>
            </w:rPr>
            <w:fldChar w:fldCharType="separate"/>
          </w:r>
          <w:r w:rsidRPr="007D4FCA">
            <w:rPr>
              <w:rFonts w:ascii="Corbel" w:hAnsi="Corbel" w:cs="Arial"/>
              <w:noProof/>
            </w:rPr>
            <w:t>(Čavrak, 2012)</w:t>
          </w:r>
          <w:r w:rsidRPr="007D4FCA">
            <w:rPr>
              <w:rFonts w:ascii="Corbel" w:hAnsi="Corbel" w:cs="Arial"/>
            </w:rPr>
            <w:fldChar w:fldCharType="end"/>
          </w:r>
        </w:sdtContent>
      </w:sdt>
      <w:r w:rsidRPr="007D4FCA">
        <w:rPr>
          <w:rFonts w:ascii="Corbel" w:hAnsi="Corbel" w:cs="Arial"/>
        </w:rPr>
        <w:t xml:space="preserve">? </w:t>
      </w:r>
    </w:p>
    <w:p w:rsidR="0067275F" w:rsidRPr="007D4FCA" w:rsidRDefault="006075EB" w:rsidP="00523629">
      <w:pPr>
        <w:spacing w:line="240" w:lineRule="auto"/>
        <w:jc w:val="both"/>
        <w:rPr>
          <w:rFonts w:ascii="Corbel" w:hAnsi="Corbel" w:cs="Arial"/>
        </w:rPr>
      </w:pPr>
      <w:r w:rsidRPr="007D4FCA">
        <w:rPr>
          <w:rFonts w:ascii="Corbel" w:hAnsi="Corbel" w:cs="Arial"/>
        </w:rPr>
        <w:lastRenderedPageBreak/>
        <w:t xml:space="preserve">Rezultati </w:t>
      </w:r>
      <w:proofErr w:type="spellStart"/>
      <w:r w:rsidRPr="007D4FCA">
        <w:rPr>
          <w:rFonts w:ascii="Corbel" w:hAnsi="Corbel" w:cs="Arial"/>
        </w:rPr>
        <w:t>shift</w:t>
      </w:r>
      <w:proofErr w:type="spellEnd"/>
      <w:r w:rsidRPr="007D4FCA">
        <w:rPr>
          <w:rFonts w:ascii="Corbel" w:hAnsi="Corbel" w:cs="Arial"/>
        </w:rPr>
        <w:t>-</w:t>
      </w:r>
      <w:proofErr w:type="spellStart"/>
      <w:r w:rsidRPr="007D4FCA">
        <w:rPr>
          <w:rFonts w:ascii="Corbel" w:hAnsi="Corbel" w:cs="Arial"/>
        </w:rPr>
        <w:t>share</w:t>
      </w:r>
      <w:proofErr w:type="spellEnd"/>
      <w:r w:rsidRPr="007D4FCA">
        <w:rPr>
          <w:rFonts w:ascii="Corbel" w:hAnsi="Corbel" w:cs="Arial"/>
        </w:rPr>
        <w:t xml:space="preserve"> analize za grad Zadar prikazani su sljedećom tablicom.</w:t>
      </w:r>
    </w:p>
    <w:p w:rsidR="006075EB" w:rsidRPr="005923FC" w:rsidRDefault="006075EB" w:rsidP="006075EB">
      <w:pPr>
        <w:pStyle w:val="Opisslike"/>
        <w:keepNext/>
        <w:rPr>
          <w:rFonts w:ascii="Corbel" w:hAnsi="Corbel"/>
        </w:rPr>
      </w:pPr>
      <w:bookmarkStart w:id="36" w:name="_Toc351538415"/>
      <w:r w:rsidRPr="005923FC">
        <w:rPr>
          <w:rFonts w:ascii="Corbel" w:hAnsi="Corbel"/>
        </w:rPr>
        <w:t xml:space="preserve">Tablica </w:t>
      </w:r>
      <w:r w:rsidRPr="005923FC">
        <w:rPr>
          <w:rFonts w:ascii="Corbel" w:hAnsi="Corbel"/>
        </w:rPr>
        <w:fldChar w:fldCharType="begin"/>
      </w:r>
      <w:r w:rsidRPr="005923FC">
        <w:rPr>
          <w:rFonts w:ascii="Corbel" w:hAnsi="Corbel"/>
        </w:rPr>
        <w:instrText xml:space="preserve"> SEQ Tablica \* ARABIC </w:instrText>
      </w:r>
      <w:r w:rsidRPr="005923FC">
        <w:rPr>
          <w:rFonts w:ascii="Corbel" w:hAnsi="Corbel"/>
        </w:rPr>
        <w:fldChar w:fldCharType="separate"/>
      </w:r>
      <w:r w:rsidR="00280AAE">
        <w:rPr>
          <w:rFonts w:ascii="Corbel" w:hAnsi="Corbel"/>
          <w:noProof/>
        </w:rPr>
        <w:t>10</w:t>
      </w:r>
      <w:r w:rsidRPr="005923FC">
        <w:rPr>
          <w:rFonts w:ascii="Corbel" w:hAnsi="Corbel"/>
        </w:rPr>
        <w:fldChar w:fldCharType="end"/>
      </w:r>
      <w:r w:rsidRPr="005923FC">
        <w:rPr>
          <w:rFonts w:ascii="Corbel" w:hAnsi="Corbel"/>
        </w:rPr>
        <w:t xml:space="preserve">: </w:t>
      </w:r>
      <w:proofErr w:type="spellStart"/>
      <w:r w:rsidRPr="005923FC">
        <w:rPr>
          <w:rFonts w:ascii="Corbel" w:hAnsi="Corbel"/>
        </w:rPr>
        <w:t>Shift</w:t>
      </w:r>
      <w:proofErr w:type="spellEnd"/>
      <w:r w:rsidRPr="005923FC">
        <w:rPr>
          <w:rFonts w:ascii="Corbel" w:hAnsi="Corbel"/>
        </w:rPr>
        <w:t>-</w:t>
      </w:r>
      <w:proofErr w:type="spellStart"/>
      <w:r w:rsidRPr="005923FC">
        <w:rPr>
          <w:rFonts w:ascii="Corbel" w:hAnsi="Corbel"/>
        </w:rPr>
        <w:t>share</w:t>
      </w:r>
      <w:proofErr w:type="spellEnd"/>
      <w:r w:rsidRPr="005923FC">
        <w:rPr>
          <w:rFonts w:ascii="Corbel" w:hAnsi="Corbel"/>
        </w:rPr>
        <w:t xml:space="preserve"> analiza</w:t>
      </w:r>
      <w:bookmarkEnd w:id="36"/>
    </w:p>
    <w:tbl>
      <w:tblPr>
        <w:tblW w:w="9271" w:type="dxa"/>
        <w:tblInd w:w="93" w:type="dxa"/>
        <w:tblLayout w:type="fixed"/>
        <w:tblLook w:val="04A0" w:firstRow="1" w:lastRow="0" w:firstColumn="1" w:lastColumn="0" w:noHBand="0" w:noVBand="1"/>
      </w:tblPr>
      <w:tblGrid>
        <w:gridCol w:w="2513"/>
        <w:gridCol w:w="808"/>
        <w:gridCol w:w="808"/>
        <w:gridCol w:w="989"/>
        <w:gridCol w:w="993"/>
        <w:gridCol w:w="992"/>
        <w:gridCol w:w="1051"/>
        <w:gridCol w:w="1117"/>
      </w:tblGrid>
      <w:tr w:rsidR="00726057" w:rsidRPr="005923FC" w:rsidTr="00726057">
        <w:trPr>
          <w:trHeight w:val="351"/>
        </w:trPr>
        <w:tc>
          <w:tcPr>
            <w:tcW w:w="25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 </w:t>
            </w:r>
          </w:p>
        </w:tc>
        <w:tc>
          <w:tcPr>
            <w:tcW w:w="808" w:type="dxa"/>
            <w:tcBorders>
              <w:top w:val="single" w:sz="4" w:space="0" w:color="auto"/>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rPr>
                <w:rFonts w:ascii="Corbel" w:eastAsia="Times New Roman" w:hAnsi="Corbel" w:cs="Times New Roman"/>
                <w:sz w:val="18"/>
                <w:lang w:eastAsia="hr-HR"/>
              </w:rPr>
            </w:pPr>
            <w:r w:rsidRPr="005923FC">
              <w:rPr>
                <w:rFonts w:ascii="Corbel" w:eastAsia="Times New Roman" w:hAnsi="Corbel" w:cs="Times New Roman"/>
                <w:sz w:val="18"/>
                <w:lang w:eastAsia="hr-HR"/>
              </w:rPr>
              <w:t>2001.</w:t>
            </w:r>
          </w:p>
        </w:tc>
        <w:tc>
          <w:tcPr>
            <w:tcW w:w="808" w:type="dxa"/>
            <w:tcBorders>
              <w:top w:val="single" w:sz="4" w:space="0" w:color="auto"/>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rPr>
                <w:rFonts w:ascii="Corbel" w:eastAsia="Times New Roman" w:hAnsi="Corbel" w:cs="Times New Roman"/>
                <w:sz w:val="18"/>
                <w:lang w:eastAsia="hr-HR"/>
              </w:rPr>
            </w:pPr>
            <w:r w:rsidRPr="005923FC">
              <w:rPr>
                <w:rFonts w:ascii="Corbel" w:eastAsia="Times New Roman" w:hAnsi="Corbel" w:cs="Times New Roman"/>
                <w:sz w:val="18"/>
                <w:lang w:eastAsia="hr-HR"/>
              </w:rPr>
              <w:t>2008.</w:t>
            </w:r>
          </w:p>
        </w:tc>
        <w:tc>
          <w:tcPr>
            <w:tcW w:w="989" w:type="dxa"/>
            <w:tcBorders>
              <w:top w:val="single" w:sz="4" w:space="0" w:color="auto"/>
              <w:left w:val="nil"/>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20"/>
                <w:lang w:eastAsia="hr-HR"/>
              </w:rPr>
            </w:pPr>
            <w:r w:rsidRPr="005923FC">
              <w:rPr>
                <w:rFonts w:ascii="Corbel" w:eastAsia="Times New Roman" w:hAnsi="Corbel" w:cs="Times New Roman"/>
                <w:sz w:val="18"/>
                <w:lang w:eastAsia="hr-HR"/>
              </w:rPr>
              <w:t>Stvarna promjena</w:t>
            </w:r>
          </w:p>
        </w:tc>
        <w:tc>
          <w:tcPr>
            <w:tcW w:w="993" w:type="dxa"/>
            <w:tcBorders>
              <w:top w:val="single" w:sz="4" w:space="0" w:color="auto"/>
              <w:left w:val="nil"/>
              <w:bottom w:val="single" w:sz="4" w:space="0" w:color="auto"/>
              <w:right w:val="single" w:sz="4" w:space="0" w:color="auto"/>
            </w:tcBorders>
          </w:tcPr>
          <w:p w:rsidR="00155083" w:rsidRPr="005923FC" w:rsidRDefault="00155083" w:rsidP="00155083">
            <w:pPr>
              <w:spacing w:after="0" w:line="240" w:lineRule="auto"/>
              <w:rPr>
                <w:rFonts w:ascii="Corbel" w:eastAsia="Times New Roman" w:hAnsi="Corbel" w:cs="Times New Roman"/>
                <w:sz w:val="20"/>
                <w:lang w:eastAsia="hr-HR"/>
              </w:rPr>
            </w:pPr>
            <w:r w:rsidRPr="005923FC">
              <w:rPr>
                <w:rFonts w:ascii="Corbel" w:eastAsia="Times New Roman" w:hAnsi="Corbel" w:cs="Times New Roman"/>
                <w:sz w:val="18"/>
                <w:lang w:eastAsia="hr-HR"/>
              </w:rPr>
              <w:t>% promjene</w:t>
            </w:r>
          </w:p>
        </w:tc>
        <w:tc>
          <w:tcPr>
            <w:tcW w:w="992" w:type="dxa"/>
            <w:tcBorders>
              <w:top w:val="single" w:sz="4" w:space="0" w:color="auto"/>
              <w:left w:val="single" w:sz="4" w:space="0" w:color="auto"/>
              <w:bottom w:val="single" w:sz="4" w:space="0" w:color="auto"/>
              <w:right w:val="single" w:sz="4" w:space="0" w:color="auto"/>
            </w:tcBorders>
            <w:shd w:val="clear" w:color="000000" w:fill="BFBFBF"/>
            <w:vAlign w:val="bottom"/>
            <w:hideMark/>
          </w:tcPr>
          <w:p w:rsidR="00155083" w:rsidRPr="005923FC" w:rsidRDefault="00155083" w:rsidP="00155083">
            <w:pPr>
              <w:spacing w:after="0" w:line="240" w:lineRule="auto"/>
              <w:rPr>
                <w:rFonts w:ascii="Corbel" w:eastAsia="Times New Roman" w:hAnsi="Corbel" w:cs="Times New Roman"/>
                <w:sz w:val="18"/>
                <w:lang w:eastAsia="hr-HR"/>
              </w:rPr>
            </w:pPr>
            <w:r w:rsidRPr="005923FC">
              <w:rPr>
                <w:rFonts w:ascii="Corbel" w:eastAsia="Times New Roman" w:hAnsi="Corbel" w:cs="Times New Roman"/>
                <w:sz w:val="18"/>
                <w:lang w:eastAsia="hr-HR"/>
              </w:rPr>
              <w:t>Nacionalni udio</w:t>
            </w:r>
          </w:p>
        </w:tc>
        <w:tc>
          <w:tcPr>
            <w:tcW w:w="1051" w:type="dxa"/>
            <w:tcBorders>
              <w:top w:val="single" w:sz="4" w:space="0" w:color="auto"/>
              <w:left w:val="nil"/>
              <w:bottom w:val="single" w:sz="4" w:space="0" w:color="auto"/>
              <w:right w:val="single" w:sz="4" w:space="0" w:color="auto"/>
            </w:tcBorders>
            <w:shd w:val="clear" w:color="000000" w:fill="BFBFBF"/>
            <w:vAlign w:val="bottom"/>
            <w:hideMark/>
          </w:tcPr>
          <w:p w:rsidR="00155083" w:rsidRPr="005923FC" w:rsidRDefault="00155083" w:rsidP="00155083">
            <w:pPr>
              <w:spacing w:after="0" w:line="240" w:lineRule="auto"/>
              <w:rPr>
                <w:rFonts w:ascii="Corbel" w:eastAsia="Times New Roman" w:hAnsi="Corbel" w:cs="Times New Roman"/>
                <w:sz w:val="18"/>
                <w:lang w:eastAsia="hr-HR"/>
              </w:rPr>
            </w:pPr>
            <w:proofErr w:type="spellStart"/>
            <w:r w:rsidRPr="005923FC">
              <w:rPr>
                <w:rFonts w:ascii="Corbel" w:eastAsia="Times New Roman" w:hAnsi="Corbel" w:cs="Times New Roman"/>
                <w:sz w:val="18"/>
                <w:lang w:eastAsia="hr-HR"/>
              </w:rPr>
              <w:t>Mix</w:t>
            </w:r>
            <w:proofErr w:type="spellEnd"/>
            <w:r w:rsidRPr="005923FC">
              <w:rPr>
                <w:rFonts w:ascii="Corbel" w:eastAsia="Times New Roman" w:hAnsi="Corbel" w:cs="Times New Roman"/>
                <w:sz w:val="18"/>
                <w:lang w:eastAsia="hr-HR"/>
              </w:rPr>
              <w:t xml:space="preserve"> djelatnosti </w:t>
            </w:r>
          </w:p>
        </w:tc>
        <w:tc>
          <w:tcPr>
            <w:tcW w:w="1117" w:type="dxa"/>
            <w:tcBorders>
              <w:top w:val="single" w:sz="4" w:space="0" w:color="auto"/>
              <w:left w:val="nil"/>
              <w:bottom w:val="single" w:sz="4" w:space="0" w:color="auto"/>
              <w:right w:val="single" w:sz="4" w:space="0" w:color="auto"/>
            </w:tcBorders>
            <w:shd w:val="clear" w:color="000000" w:fill="BFBFBF"/>
            <w:vAlign w:val="bottom"/>
            <w:hideMark/>
          </w:tcPr>
          <w:p w:rsidR="00155083" w:rsidRPr="005923FC" w:rsidRDefault="00155083" w:rsidP="00155083">
            <w:pPr>
              <w:spacing w:after="0" w:line="240" w:lineRule="auto"/>
              <w:rPr>
                <w:rFonts w:ascii="Corbel" w:eastAsia="Times New Roman" w:hAnsi="Corbel" w:cs="Times New Roman"/>
                <w:sz w:val="18"/>
                <w:lang w:eastAsia="hr-HR"/>
              </w:rPr>
            </w:pPr>
            <w:r w:rsidRPr="005923FC">
              <w:rPr>
                <w:rFonts w:ascii="Corbel" w:eastAsia="Times New Roman" w:hAnsi="Corbel" w:cs="Times New Roman"/>
                <w:sz w:val="18"/>
                <w:lang w:eastAsia="hr-HR"/>
              </w:rPr>
              <w:t>Lokalni faktori</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Poljoprivreda, lov i šumarstvo</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231</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200</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-31</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color w:val="FF0000"/>
                <w:sz w:val="18"/>
              </w:rPr>
            </w:pPr>
            <w:r w:rsidRPr="005923FC">
              <w:rPr>
                <w:rFonts w:ascii="Corbel" w:hAnsi="Corbel" w:cs="Times New Roman"/>
                <w:color w:val="FF0000"/>
                <w:sz w:val="18"/>
              </w:rPr>
              <w:t>-13,42</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26</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-63</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6</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Ribarstvo</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151</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90</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-61</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color w:val="FF0000"/>
                <w:sz w:val="18"/>
              </w:rPr>
            </w:pPr>
            <w:r w:rsidRPr="005923FC">
              <w:rPr>
                <w:rFonts w:ascii="Corbel" w:hAnsi="Corbel" w:cs="Times New Roman"/>
                <w:color w:val="FF0000"/>
                <w:sz w:val="18"/>
              </w:rPr>
              <w:t>-40,40</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17</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-80</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000000" w:fill="FF0000"/>
            <w:noWrap/>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Rudarstvo i vađenje</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21</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2000,00</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0</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0</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Prerađivačka industrija</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3335</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2245</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-1090</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color w:val="FF0000"/>
                <w:sz w:val="18"/>
              </w:rPr>
            </w:pPr>
            <w:r w:rsidRPr="005923FC">
              <w:rPr>
                <w:rFonts w:ascii="Corbel" w:hAnsi="Corbel" w:cs="Times New Roman"/>
                <w:color w:val="FF0000"/>
                <w:sz w:val="18"/>
              </w:rPr>
              <w:t>-32,68</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371</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-402</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-1060</w:t>
            </w:r>
          </w:p>
        </w:tc>
      </w:tr>
      <w:tr w:rsidR="00726057" w:rsidRPr="005923FC" w:rsidTr="00726057">
        <w:trPr>
          <w:trHeight w:val="196"/>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Opskrba električnom energijom vodom i plinom</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613</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573</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-40</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color w:val="FF0000"/>
                <w:sz w:val="18"/>
              </w:rPr>
            </w:pPr>
            <w:r w:rsidRPr="005923FC">
              <w:rPr>
                <w:rFonts w:ascii="Corbel" w:hAnsi="Corbel" w:cs="Times New Roman"/>
                <w:color w:val="FF0000"/>
                <w:sz w:val="18"/>
              </w:rPr>
              <w:t>-6,53</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68</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-89</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-19</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Građevinarstvo</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1260</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1719</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459</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36,43</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140</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453</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-135</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Trgovina na malo i veliko</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3440</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5204</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1764</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51,28</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383</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503</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878</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Hoteli i restorani</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852</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833</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-19</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color w:val="FF0000"/>
                <w:sz w:val="18"/>
              </w:rPr>
            </w:pPr>
            <w:r w:rsidRPr="005923FC">
              <w:rPr>
                <w:rFonts w:ascii="Corbel" w:hAnsi="Corbel" w:cs="Times New Roman"/>
                <w:color w:val="FF0000"/>
                <w:sz w:val="18"/>
              </w:rPr>
              <w:t>-2,23</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95</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-38</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-76</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Prijevoz, skladištenje i veze</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1821</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1471</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-350</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color w:val="FF0000"/>
                <w:sz w:val="18"/>
              </w:rPr>
            </w:pPr>
            <w:r w:rsidRPr="005923FC">
              <w:rPr>
                <w:rFonts w:ascii="Corbel" w:hAnsi="Corbel" w:cs="Times New Roman"/>
                <w:color w:val="FF0000"/>
                <w:sz w:val="18"/>
              </w:rPr>
              <w:t>-19,22</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203</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-319</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-234</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Financijsko posredovanje</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673</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881</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208</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30,91</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75</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82</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51</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 xml:space="preserve">Poslovanje </w:t>
            </w:r>
            <w:proofErr w:type="spellStart"/>
            <w:r w:rsidRPr="005923FC">
              <w:rPr>
                <w:rFonts w:ascii="Corbel" w:eastAsia="Times New Roman" w:hAnsi="Corbel" w:cs="Times New Roman"/>
                <w:sz w:val="16"/>
                <w:lang w:eastAsia="hr-HR"/>
              </w:rPr>
              <w:t>nekretninama</w:t>
            </w:r>
            <w:r w:rsidR="0030641D">
              <w:rPr>
                <w:rFonts w:ascii="Corbel" w:eastAsia="Times New Roman" w:hAnsi="Corbel" w:cs="Times New Roman"/>
                <w:sz w:val="16"/>
                <w:lang w:eastAsia="hr-HR"/>
              </w:rPr>
              <w:t>..</w:t>
            </w:r>
            <w:proofErr w:type="spellEnd"/>
            <w:r w:rsidR="0030641D">
              <w:rPr>
                <w:rFonts w:ascii="Corbel" w:eastAsia="Times New Roman" w:hAnsi="Corbel" w:cs="Times New Roman"/>
                <w:sz w:val="16"/>
                <w:lang w:eastAsia="hr-HR"/>
              </w:rPr>
              <w:t>.</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1036</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1471</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435</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41,99</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115</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435</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-115</w:t>
            </w:r>
          </w:p>
        </w:tc>
      </w:tr>
      <w:tr w:rsidR="00726057" w:rsidRPr="005923FC" w:rsidTr="00726057">
        <w:trPr>
          <w:trHeight w:val="196"/>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Javna uprava i obrana; obvezno soc. Osiguranje</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1003</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2202</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1199</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b/>
                <w:color w:val="00CC00"/>
                <w:sz w:val="18"/>
              </w:rPr>
            </w:pPr>
            <w:r w:rsidRPr="005923FC">
              <w:rPr>
                <w:rFonts w:ascii="Corbel" w:hAnsi="Corbel" w:cs="Times New Roman"/>
                <w:b/>
                <w:color w:val="00CC00"/>
                <w:sz w:val="18"/>
              </w:rPr>
              <w:t>119,54</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112</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-246</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1334</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Obrazovanje</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1881</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2300</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419</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22,28</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209</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153</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56</w:t>
            </w:r>
          </w:p>
        </w:tc>
      </w:tr>
      <w:tr w:rsidR="00726057" w:rsidRPr="005923FC" w:rsidTr="00726057">
        <w:trPr>
          <w:trHeight w:val="196"/>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Zdravstvena zaštita i socijalna skrb</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1526</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1736</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210</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13,76</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170</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-3</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43</w:t>
            </w:r>
          </w:p>
        </w:tc>
      </w:tr>
      <w:tr w:rsidR="00726057" w:rsidRPr="005923FC" w:rsidTr="00726057">
        <w:trPr>
          <w:trHeight w:val="196"/>
        </w:trPr>
        <w:tc>
          <w:tcPr>
            <w:tcW w:w="2513" w:type="dxa"/>
            <w:tcBorders>
              <w:top w:val="nil"/>
              <w:left w:val="single" w:sz="4" w:space="0" w:color="auto"/>
              <w:bottom w:val="single" w:sz="4" w:space="0" w:color="auto"/>
              <w:right w:val="single" w:sz="4" w:space="0" w:color="auto"/>
            </w:tcBorders>
            <w:shd w:val="clear" w:color="auto" w:fill="auto"/>
            <w:vAlign w:val="bottom"/>
            <w:hideMark/>
          </w:tcPr>
          <w:p w:rsidR="00155083" w:rsidRPr="005923FC" w:rsidRDefault="00155083" w:rsidP="00155083">
            <w:pPr>
              <w:spacing w:after="0" w:line="240" w:lineRule="auto"/>
              <w:rPr>
                <w:rFonts w:ascii="Corbel" w:eastAsia="Times New Roman" w:hAnsi="Corbel" w:cs="Times New Roman"/>
                <w:sz w:val="16"/>
                <w:lang w:eastAsia="hr-HR"/>
              </w:rPr>
            </w:pPr>
            <w:r w:rsidRPr="005923FC">
              <w:rPr>
                <w:rFonts w:ascii="Corbel" w:eastAsia="Times New Roman" w:hAnsi="Corbel" w:cs="Times New Roman"/>
                <w:sz w:val="16"/>
                <w:lang w:eastAsia="hr-HR"/>
              </w:rPr>
              <w:t>Ostale društvene, socijalne i osobne uslužne djelatnosti</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660</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1259</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599</w:t>
            </w:r>
          </w:p>
        </w:tc>
        <w:tc>
          <w:tcPr>
            <w:tcW w:w="993" w:type="dxa"/>
            <w:tcBorders>
              <w:top w:val="single" w:sz="4" w:space="0" w:color="auto"/>
              <w:left w:val="nil"/>
              <w:bottom w:val="single" w:sz="4" w:space="0" w:color="auto"/>
              <w:right w:val="single" w:sz="4" w:space="0" w:color="auto"/>
            </w:tcBorders>
            <w:vAlign w:val="bottom"/>
          </w:tcPr>
          <w:p w:rsidR="00155083" w:rsidRPr="005923FC" w:rsidRDefault="00155083" w:rsidP="00155083">
            <w:pPr>
              <w:spacing w:after="0" w:line="240" w:lineRule="auto"/>
              <w:jc w:val="right"/>
              <w:rPr>
                <w:rFonts w:ascii="Corbel" w:hAnsi="Corbel" w:cs="Times New Roman"/>
                <w:sz w:val="18"/>
              </w:rPr>
            </w:pPr>
            <w:r w:rsidRPr="005923FC">
              <w:rPr>
                <w:rFonts w:ascii="Corbel" w:hAnsi="Corbel" w:cs="Times New Roman"/>
                <w:sz w:val="18"/>
              </w:rPr>
              <w:t>90,76</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73</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sz w:val="18"/>
                <w:lang w:eastAsia="hr-HR"/>
              </w:rPr>
            </w:pPr>
            <w:r w:rsidRPr="005923FC">
              <w:rPr>
                <w:rFonts w:ascii="Corbel" w:eastAsia="Times New Roman" w:hAnsi="Corbel" w:cs="Times New Roman"/>
                <w:sz w:val="18"/>
                <w:lang w:eastAsia="hr-HR"/>
              </w:rPr>
              <w:t>207</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bCs/>
                <w:color w:val="00CC00"/>
                <w:sz w:val="18"/>
                <w:lang w:eastAsia="hr-HR"/>
              </w:rPr>
            </w:pPr>
            <w:r w:rsidRPr="005923FC">
              <w:rPr>
                <w:rFonts w:ascii="Corbel" w:eastAsia="Times New Roman" w:hAnsi="Corbel" w:cs="Times New Roman"/>
                <w:b/>
                <w:bCs/>
                <w:color w:val="00CC00"/>
                <w:sz w:val="18"/>
                <w:lang w:eastAsia="hr-HR"/>
              </w:rPr>
              <w:t>319</w:t>
            </w:r>
          </w:p>
        </w:tc>
      </w:tr>
      <w:tr w:rsidR="00726057" w:rsidRPr="005923FC" w:rsidTr="00726057">
        <w:trPr>
          <w:trHeight w:val="98"/>
        </w:trPr>
        <w:tc>
          <w:tcPr>
            <w:tcW w:w="2513" w:type="dxa"/>
            <w:tcBorders>
              <w:top w:val="nil"/>
              <w:left w:val="single" w:sz="4" w:space="0" w:color="auto"/>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rPr>
                <w:rFonts w:ascii="Corbel" w:eastAsia="Times New Roman" w:hAnsi="Corbel" w:cs="Times New Roman"/>
                <w:b/>
                <w:sz w:val="16"/>
                <w:lang w:eastAsia="hr-HR"/>
              </w:rPr>
            </w:pPr>
            <w:r w:rsidRPr="005923FC">
              <w:rPr>
                <w:rFonts w:ascii="Corbel" w:eastAsia="Times New Roman" w:hAnsi="Corbel" w:cs="Times New Roman"/>
                <w:b/>
                <w:sz w:val="16"/>
                <w:lang w:eastAsia="hr-HR"/>
              </w:rPr>
              <w:t>UKUPNO</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18483</w:t>
            </w:r>
          </w:p>
        </w:tc>
        <w:tc>
          <w:tcPr>
            <w:tcW w:w="808"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22205</w:t>
            </w:r>
          </w:p>
        </w:tc>
        <w:tc>
          <w:tcPr>
            <w:tcW w:w="989" w:type="dxa"/>
            <w:tcBorders>
              <w:top w:val="nil"/>
              <w:left w:val="nil"/>
              <w:bottom w:val="single" w:sz="4" w:space="0" w:color="auto"/>
              <w:right w:val="single" w:sz="4" w:space="0" w:color="auto"/>
            </w:tcBorders>
            <w:shd w:val="clear" w:color="auto" w:fill="auto"/>
            <w:noWrap/>
            <w:vAlign w:val="bottom"/>
            <w:hideMark/>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3722</w:t>
            </w:r>
          </w:p>
        </w:tc>
        <w:tc>
          <w:tcPr>
            <w:tcW w:w="993" w:type="dxa"/>
            <w:tcBorders>
              <w:top w:val="single" w:sz="4" w:space="0" w:color="auto"/>
              <w:left w:val="nil"/>
              <w:bottom w:val="single" w:sz="4" w:space="0" w:color="auto"/>
              <w:right w:val="single" w:sz="4" w:space="0" w:color="auto"/>
            </w:tcBorders>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20,14</w:t>
            </w:r>
          </w:p>
        </w:tc>
        <w:tc>
          <w:tcPr>
            <w:tcW w:w="992" w:type="dxa"/>
            <w:tcBorders>
              <w:top w:val="nil"/>
              <w:left w:val="single" w:sz="4" w:space="0" w:color="auto"/>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2057</w:t>
            </w:r>
          </w:p>
        </w:tc>
        <w:tc>
          <w:tcPr>
            <w:tcW w:w="1051"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675</w:t>
            </w:r>
          </w:p>
        </w:tc>
        <w:tc>
          <w:tcPr>
            <w:tcW w:w="1117" w:type="dxa"/>
            <w:tcBorders>
              <w:top w:val="nil"/>
              <w:left w:val="nil"/>
              <w:bottom w:val="single" w:sz="4" w:space="0" w:color="auto"/>
              <w:right w:val="single" w:sz="4" w:space="0" w:color="auto"/>
            </w:tcBorders>
            <w:shd w:val="clear" w:color="000000" w:fill="BFBFBF"/>
            <w:noWrap/>
            <w:vAlign w:val="bottom"/>
            <w:hideMark/>
          </w:tcPr>
          <w:p w:rsidR="00155083" w:rsidRPr="005923FC" w:rsidRDefault="00155083" w:rsidP="00155083">
            <w:pPr>
              <w:spacing w:after="0" w:line="240" w:lineRule="auto"/>
              <w:jc w:val="right"/>
              <w:rPr>
                <w:rFonts w:ascii="Corbel" w:eastAsia="Times New Roman" w:hAnsi="Corbel" w:cs="Times New Roman"/>
                <w:b/>
                <w:sz w:val="18"/>
                <w:lang w:eastAsia="hr-HR"/>
              </w:rPr>
            </w:pPr>
            <w:r w:rsidRPr="005923FC">
              <w:rPr>
                <w:rFonts w:ascii="Corbel" w:eastAsia="Times New Roman" w:hAnsi="Corbel" w:cs="Times New Roman"/>
                <w:b/>
                <w:sz w:val="18"/>
                <w:lang w:eastAsia="hr-HR"/>
              </w:rPr>
              <w:t>989</w:t>
            </w:r>
          </w:p>
        </w:tc>
      </w:tr>
    </w:tbl>
    <w:p w:rsidR="009C471F" w:rsidRPr="005923FC" w:rsidRDefault="006075EB" w:rsidP="009C471F">
      <w:pPr>
        <w:spacing w:line="240" w:lineRule="auto"/>
        <w:jc w:val="both"/>
        <w:rPr>
          <w:rFonts w:ascii="Corbel" w:hAnsi="Corbel" w:cs="Arial"/>
          <w:sz w:val="20"/>
        </w:rPr>
      </w:pPr>
      <w:r w:rsidRPr="005923FC">
        <w:rPr>
          <w:rFonts w:ascii="Corbel" w:hAnsi="Corbel" w:cs="Arial"/>
          <w:sz w:val="20"/>
        </w:rPr>
        <w:t>Izvor: DZS, Stat</w:t>
      </w:r>
      <w:r w:rsidR="009C471F" w:rsidRPr="005923FC">
        <w:rPr>
          <w:rFonts w:ascii="Corbel" w:hAnsi="Corbel" w:cs="Arial"/>
          <w:sz w:val="20"/>
        </w:rPr>
        <w:t>ističko izvješće, obrada: ZADRA</w:t>
      </w:r>
    </w:p>
    <w:p w:rsidR="00926B73" w:rsidRDefault="00926B73" w:rsidP="009C471F">
      <w:pPr>
        <w:spacing w:line="240" w:lineRule="auto"/>
        <w:jc w:val="both"/>
        <w:rPr>
          <w:rFonts w:ascii="Corbel" w:hAnsi="Corbel" w:cs="Arial"/>
          <w:b/>
          <w:i/>
        </w:rPr>
      </w:pPr>
    </w:p>
    <w:p w:rsidR="00815E60" w:rsidRPr="00926B73" w:rsidRDefault="00815E60" w:rsidP="009C471F">
      <w:pPr>
        <w:spacing w:line="240" w:lineRule="auto"/>
        <w:jc w:val="both"/>
        <w:rPr>
          <w:rFonts w:ascii="Corbel" w:hAnsi="Corbel" w:cs="Arial"/>
          <w:b/>
          <w:i/>
        </w:rPr>
      </w:pPr>
      <w:r w:rsidRPr="00926B73">
        <w:rPr>
          <w:rFonts w:ascii="Corbel" w:hAnsi="Corbel" w:cs="Arial"/>
          <w:b/>
          <w:i/>
        </w:rPr>
        <w:t>Lokalna komponenta</w:t>
      </w:r>
      <w:r w:rsidR="00E412BD" w:rsidRPr="00926B73">
        <w:rPr>
          <w:rFonts w:ascii="Corbel" w:hAnsi="Corbel" w:cs="Arial"/>
          <w:b/>
          <w:i/>
        </w:rPr>
        <w:t xml:space="preserve"> (zadnja kolona)</w:t>
      </w:r>
      <w:r w:rsidRPr="00926B73">
        <w:rPr>
          <w:rFonts w:ascii="Corbel" w:hAnsi="Corbel" w:cs="Arial"/>
          <w:b/>
          <w:i/>
        </w:rPr>
        <w:t xml:space="preserve"> – konkurentnost grada Zadra po sektorima</w:t>
      </w:r>
    </w:p>
    <w:p w:rsidR="00471EDC" w:rsidRPr="00926B73" w:rsidRDefault="00471EDC" w:rsidP="00471EDC">
      <w:pPr>
        <w:spacing w:line="240" w:lineRule="auto"/>
        <w:jc w:val="both"/>
        <w:rPr>
          <w:rFonts w:ascii="Corbel" w:hAnsi="Corbel" w:cs="Arial"/>
        </w:rPr>
      </w:pPr>
      <w:r w:rsidRPr="00926B73">
        <w:rPr>
          <w:rFonts w:ascii="Corbel" w:hAnsi="Corbel" w:cs="Arial"/>
        </w:rPr>
        <w:t xml:space="preserve">Kompetitivna komponenta (lokalni faktor) u gradu Zadru je pozitivna, odnosno </w:t>
      </w:r>
      <w:r w:rsidRPr="00926B73">
        <w:rPr>
          <w:rFonts w:ascii="Corbel" w:hAnsi="Corbel" w:cs="Arial"/>
          <w:b/>
        </w:rPr>
        <w:t>989 radnika iz grada Zadra „ima posao“ jer grad Zadar ima bolju konkurentsku poziciju u odnosu na nacionalni prosjek</w:t>
      </w:r>
      <w:r w:rsidRPr="00926B73">
        <w:rPr>
          <w:rFonts w:ascii="Corbel" w:hAnsi="Corbel" w:cs="Arial"/>
        </w:rPr>
        <w:t xml:space="preserve">. </w:t>
      </w:r>
      <w:r w:rsidR="00926B73" w:rsidRPr="00926B73">
        <w:rPr>
          <w:rFonts w:ascii="Corbel" w:hAnsi="Corbel" w:cs="Arial"/>
        </w:rPr>
        <w:t>A</w:t>
      </w:r>
      <w:r w:rsidRPr="00926B73">
        <w:rPr>
          <w:rFonts w:ascii="Corbel" w:hAnsi="Corbel" w:cs="Arial"/>
        </w:rPr>
        <w:t xml:space="preserve">ko pogledamo strukturu lokalnog faktora vidljivo je kako je najveći doprinos rastu ostvaren upravo u djelatnosti </w:t>
      </w:r>
      <w:r w:rsidR="00633442" w:rsidRPr="00926B73">
        <w:rPr>
          <w:rFonts w:ascii="Corbel" w:hAnsi="Corbel" w:cs="Arial"/>
          <w:b/>
        </w:rPr>
        <w:t>trgovine</w:t>
      </w:r>
      <w:r w:rsidR="00926B73" w:rsidRPr="00926B73">
        <w:rPr>
          <w:rFonts w:ascii="Corbel" w:hAnsi="Corbel" w:cs="Arial"/>
          <w:b/>
        </w:rPr>
        <w:t xml:space="preserve"> (od gospodarskih djelatnosti)</w:t>
      </w:r>
      <w:r w:rsidRPr="00926B73">
        <w:rPr>
          <w:rFonts w:ascii="Corbel" w:hAnsi="Corbel" w:cs="Arial"/>
          <w:b/>
        </w:rPr>
        <w:t xml:space="preserve">, </w:t>
      </w:r>
      <w:r w:rsidR="00633442" w:rsidRPr="00926B73">
        <w:rPr>
          <w:rFonts w:ascii="Corbel" w:hAnsi="Corbel" w:cs="Arial"/>
        </w:rPr>
        <w:t>u kojima</w:t>
      </w:r>
      <w:r w:rsidRPr="00926B73">
        <w:rPr>
          <w:rFonts w:ascii="Corbel" w:hAnsi="Corbel" w:cs="Arial"/>
        </w:rPr>
        <w:t xml:space="preserve"> je Zadar konkurentnije područje od RH. </w:t>
      </w:r>
    </w:p>
    <w:p w:rsidR="00D70611" w:rsidRPr="007D4FCA" w:rsidRDefault="00240A17" w:rsidP="009C471F">
      <w:pPr>
        <w:spacing w:line="240" w:lineRule="auto"/>
        <w:jc w:val="both"/>
        <w:rPr>
          <w:rFonts w:ascii="Corbel" w:hAnsi="Corbel" w:cs="Arial"/>
        </w:rPr>
      </w:pPr>
      <w:r w:rsidRPr="007D4FCA">
        <w:rPr>
          <w:rFonts w:ascii="Corbel" w:hAnsi="Corbel" w:cs="Arial"/>
        </w:rPr>
        <w:t>Razmatrajući</w:t>
      </w:r>
      <w:r w:rsidR="00B73C4D" w:rsidRPr="007D4FCA">
        <w:rPr>
          <w:rFonts w:ascii="Corbel" w:hAnsi="Corbel" w:cs="Arial"/>
        </w:rPr>
        <w:t xml:space="preserve"> pojedinačno</w:t>
      </w:r>
      <w:r w:rsidRPr="007D4FCA">
        <w:rPr>
          <w:rFonts w:ascii="Corbel" w:hAnsi="Corbel" w:cs="Arial"/>
        </w:rPr>
        <w:t xml:space="preserve"> sektore o</w:t>
      </w:r>
      <w:r w:rsidR="009C471F" w:rsidRPr="007D4FCA">
        <w:rPr>
          <w:rFonts w:ascii="Corbel" w:hAnsi="Corbel" w:cs="Arial"/>
        </w:rPr>
        <w:t xml:space="preserve">va analiza pokazuje da </w:t>
      </w:r>
      <w:r w:rsidR="00D70611" w:rsidRPr="007D4FCA">
        <w:rPr>
          <w:rFonts w:ascii="Corbel" w:hAnsi="Corbel" w:cs="Arial"/>
          <w:b/>
        </w:rPr>
        <w:t>Prerađivačka industrija</w:t>
      </w:r>
      <w:r w:rsidR="009C471F" w:rsidRPr="007D4FCA">
        <w:rPr>
          <w:rFonts w:ascii="Corbel" w:hAnsi="Corbel" w:cs="Arial"/>
        </w:rPr>
        <w:t>, djelatnost koja je pretrpjela najveći postotak pada zaposlenosti (</w:t>
      </w:r>
      <w:r w:rsidR="00D166B0" w:rsidRPr="007D4FCA">
        <w:rPr>
          <w:rFonts w:ascii="Corbel" w:hAnsi="Corbel" w:cs="Arial"/>
        </w:rPr>
        <w:t>-</w:t>
      </w:r>
      <w:r w:rsidR="00D70611" w:rsidRPr="007D4FCA">
        <w:rPr>
          <w:rFonts w:ascii="Corbel" w:hAnsi="Corbel" w:cs="Arial"/>
        </w:rPr>
        <w:t>32</w:t>
      </w:r>
      <w:r w:rsidR="0030704E" w:rsidRPr="007D4FCA">
        <w:rPr>
          <w:rFonts w:ascii="Corbel" w:hAnsi="Corbel" w:cs="Arial"/>
        </w:rPr>
        <w:t>,</w:t>
      </w:r>
      <w:r w:rsidR="00D70611" w:rsidRPr="007D4FCA">
        <w:rPr>
          <w:rFonts w:ascii="Corbel" w:hAnsi="Corbel" w:cs="Arial"/>
        </w:rPr>
        <w:t>68</w:t>
      </w:r>
      <w:r w:rsidR="009C471F" w:rsidRPr="007D4FCA">
        <w:rPr>
          <w:rFonts w:ascii="Corbel" w:hAnsi="Corbel" w:cs="Arial"/>
        </w:rPr>
        <w:t xml:space="preserve">%), </w:t>
      </w:r>
      <w:r w:rsidR="00D166B0" w:rsidRPr="007D4FCA">
        <w:rPr>
          <w:rFonts w:ascii="Corbel" w:hAnsi="Corbel" w:cs="Arial"/>
        </w:rPr>
        <w:t xml:space="preserve"> </w:t>
      </w:r>
      <w:r w:rsidR="009C471F" w:rsidRPr="007D4FCA">
        <w:rPr>
          <w:rFonts w:ascii="Corbel" w:hAnsi="Corbel" w:cs="Arial"/>
        </w:rPr>
        <w:t>je</w:t>
      </w:r>
      <w:r w:rsidR="00D166B0" w:rsidRPr="007D4FCA">
        <w:rPr>
          <w:rFonts w:ascii="Corbel" w:hAnsi="Corbel" w:cs="Arial"/>
        </w:rPr>
        <w:t xml:space="preserve"> također pretrpjela i najveći pad u svom lokalnom ili konkurentskom udjelu (posljednja kolona</w:t>
      </w:r>
      <w:r w:rsidR="0030704E" w:rsidRPr="007D4FCA">
        <w:rPr>
          <w:rFonts w:ascii="Corbel" w:hAnsi="Corbel" w:cs="Arial"/>
        </w:rPr>
        <w:t>, –</w:t>
      </w:r>
      <w:r w:rsidR="00D70611" w:rsidRPr="007D4FCA">
        <w:rPr>
          <w:rFonts w:ascii="Corbel" w:hAnsi="Corbel" w:cs="Arial"/>
        </w:rPr>
        <w:t>31,77</w:t>
      </w:r>
      <w:r w:rsidR="0030704E" w:rsidRPr="007D4FCA">
        <w:rPr>
          <w:rFonts w:ascii="Corbel" w:hAnsi="Corbel" w:cs="Arial"/>
        </w:rPr>
        <w:t>%</w:t>
      </w:r>
      <w:r w:rsidR="00D166B0" w:rsidRPr="007D4FCA">
        <w:rPr>
          <w:rFonts w:ascii="Corbel" w:hAnsi="Corbel" w:cs="Arial"/>
        </w:rPr>
        <w:t xml:space="preserve">). </w:t>
      </w:r>
      <w:r w:rsidR="00815E60" w:rsidRPr="007D4FCA">
        <w:rPr>
          <w:rFonts w:ascii="Corbel" w:hAnsi="Corbel" w:cs="Arial"/>
        </w:rPr>
        <w:t xml:space="preserve">Znači da je prerađivačka industrija u Zadru </w:t>
      </w:r>
      <w:r w:rsidR="00815E60" w:rsidRPr="00DC1449">
        <w:rPr>
          <w:rFonts w:ascii="Corbel" w:hAnsi="Corbel" w:cs="Arial"/>
          <w:b/>
        </w:rPr>
        <w:t>značajno brže opadala od prosječnog pada RH</w:t>
      </w:r>
      <w:r w:rsidR="00815E60" w:rsidRPr="007D4FCA">
        <w:rPr>
          <w:rFonts w:ascii="Corbel" w:hAnsi="Corbel" w:cs="Arial"/>
        </w:rPr>
        <w:t xml:space="preserve"> prerađivačke industrije.</w:t>
      </w:r>
    </w:p>
    <w:p w:rsidR="00D70611" w:rsidRPr="007D4FCA" w:rsidRDefault="00D70611" w:rsidP="009C471F">
      <w:pPr>
        <w:spacing w:line="240" w:lineRule="auto"/>
        <w:jc w:val="both"/>
        <w:rPr>
          <w:rFonts w:ascii="Corbel" w:hAnsi="Corbel" w:cs="Arial"/>
        </w:rPr>
      </w:pPr>
      <w:r w:rsidRPr="007D4FCA">
        <w:rPr>
          <w:rFonts w:ascii="Corbel" w:hAnsi="Corbel" w:cs="Arial"/>
        </w:rPr>
        <w:t xml:space="preserve">Veći pad od prerađivačke djelatnosti (prema lokalnom faktoru) jedino je zabilježen kod </w:t>
      </w:r>
      <w:r w:rsidRPr="007D4FCA">
        <w:rPr>
          <w:rFonts w:ascii="Corbel" w:hAnsi="Corbel" w:cs="Arial"/>
          <w:b/>
        </w:rPr>
        <w:t>ribarstva</w:t>
      </w:r>
      <w:r w:rsidRPr="007D4FCA">
        <w:rPr>
          <w:rFonts w:ascii="Corbel" w:hAnsi="Corbel" w:cs="Arial"/>
        </w:rPr>
        <w:t>, no to je rezultat premještanja ribarskih tvrtki u ruralni dio županije, izvan administrativnih dijelova grada. To potvrđuje podatak o značajnom rastu broja zaposlenih u ribarstvu na području županije.</w:t>
      </w:r>
    </w:p>
    <w:p w:rsidR="009B4954" w:rsidRDefault="00815E60" w:rsidP="009C471F">
      <w:pPr>
        <w:spacing w:line="240" w:lineRule="auto"/>
        <w:jc w:val="both"/>
        <w:rPr>
          <w:rFonts w:ascii="Corbel" w:hAnsi="Corbel" w:cs="Arial"/>
        </w:rPr>
      </w:pPr>
      <w:r w:rsidRPr="007D4FCA">
        <w:rPr>
          <w:rFonts w:ascii="Corbel" w:hAnsi="Corbel" w:cs="Arial"/>
        </w:rPr>
        <w:t>Analiza pokazuje da su</w:t>
      </w:r>
      <w:r w:rsidR="005C37D8" w:rsidRPr="007D4FCA">
        <w:rPr>
          <w:rFonts w:ascii="Corbel" w:hAnsi="Corbel" w:cs="Arial"/>
        </w:rPr>
        <w:t xml:space="preserve"> vodeće i konkurentske djelatnosti grada Zadra </w:t>
      </w:r>
      <w:r w:rsidR="005C37D8" w:rsidRPr="007D4FCA">
        <w:rPr>
          <w:rFonts w:ascii="Corbel" w:hAnsi="Corbel" w:cs="Arial"/>
          <w:b/>
        </w:rPr>
        <w:t>trgovina</w:t>
      </w:r>
      <w:r w:rsidR="005C37D8" w:rsidRPr="007D4FCA">
        <w:rPr>
          <w:rFonts w:ascii="Corbel" w:hAnsi="Corbel" w:cs="Arial"/>
        </w:rPr>
        <w:t xml:space="preserve"> te </w:t>
      </w:r>
      <w:r w:rsidR="005C37D8" w:rsidRPr="007D4FCA">
        <w:rPr>
          <w:rFonts w:ascii="Corbel" w:hAnsi="Corbel" w:cs="Arial"/>
          <w:b/>
        </w:rPr>
        <w:t>financijsko</w:t>
      </w:r>
      <w:r w:rsidR="005C37D8" w:rsidRPr="007D4FCA">
        <w:rPr>
          <w:rFonts w:ascii="Corbel" w:hAnsi="Corbel" w:cs="Arial"/>
        </w:rPr>
        <w:t xml:space="preserve"> </w:t>
      </w:r>
      <w:r w:rsidR="005C37D8" w:rsidRPr="007D4FCA">
        <w:rPr>
          <w:rFonts w:ascii="Corbel" w:hAnsi="Corbel" w:cs="Arial"/>
          <w:b/>
        </w:rPr>
        <w:t>posredovanje</w:t>
      </w:r>
      <w:r w:rsidR="005C37D8" w:rsidRPr="007D4FCA">
        <w:rPr>
          <w:rFonts w:ascii="Corbel" w:hAnsi="Corbel" w:cs="Arial"/>
        </w:rPr>
        <w:t xml:space="preserve"> (ostalo su djelatnosti javnog sektora). To su </w:t>
      </w:r>
      <w:r w:rsidR="00E6460D" w:rsidRPr="007D4FCA">
        <w:rPr>
          <w:rFonts w:ascii="Corbel" w:hAnsi="Corbel" w:cs="Arial"/>
        </w:rPr>
        <w:t xml:space="preserve">jedine dvije </w:t>
      </w:r>
      <w:r w:rsidR="005C37D8" w:rsidRPr="007D4FCA">
        <w:rPr>
          <w:rFonts w:ascii="Corbel" w:hAnsi="Corbel" w:cs="Arial"/>
        </w:rPr>
        <w:t xml:space="preserve">djelatnosti </w:t>
      </w:r>
      <w:r w:rsidR="00E6460D" w:rsidRPr="007D4FCA">
        <w:rPr>
          <w:rFonts w:ascii="Corbel" w:hAnsi="Corbel" w:cs="Arial"/>
        </w:rPr>
        <w:t>u kojima je grad Zadar lokacijski konkurentniji od prosjeka RH.</w:t>
      </w:r>
    </w:p>
    <w:p w:rsidR="0030641D" w:rsidRPr="007D4FCA" w:rsidRDefault="0030641D" w:rsidP="009C471F">
      <w:pPr>
        <w:spacing w:line="240" w:lineRule="auto"/>
        <w:jc w:val="both"/>
        <w:rPr>
          <w:rFonts w:ascii="Corbel" w:hAnsi="Corbel" w:cs="Arial"/>
        </w:rPr>
      </w:pPr>
      <w:r w:rsidRPr="00926B73">
        <w:rPr>
          <w:rFonts w:ascii="Corbel" w:hAnsi="Corbel" w:cs="Arial"/>
        </w:rPr>
        <w:t>ZAKLJUČNO To znači da su sektori na koje se Zadarsko gospodarstvo oslonilo u razdoblju rasta (prerada, hoteli i restorani, prijevoz, poslovanje nekretninama, građevinarstvo) zapravo nacionalno nedovoljno konkurentni, tj. bez obzira jesu li ti sektori rasli ili padali od 2001.-2008. oni</w:t>
      </w:r>
      <w:r w:rsidR="00035ED1" w:rsidRPr="00926B73">
        <w:rPr>
          <w:rFonts w:ascii="Corbel" w:hAnsi="Corbel" w:cs="Arial"/>
        </w:rPr>
        <w:t xml:space="preserve"> su u sektorima koji bilježe rast rasli sporije od nacionalnog prosjeka, a u sektorima koji bilježe pad Zadar je opadao brže od nacionalnog prosjeka. Jedina dva sektora kod kojih to nije slučaj su </w:t>
      </w:r>
      <w:r w:rsidRPr="00926B73">
        <w:rPr>
          <w:rFonts w:ascii="Corbel" w:hAnsi="Corbel" w:cs="Arial"/>
          <w:b/>
        </w:rPr>
        <w:t>trgovi</w:t>
      </w:r>
      <w:r w:rsidR="00035ED1" w:rsidRPr="00926B73">
        <w:rPr>
          <w:rFonts w:ascii="Corbel" w:hAnsi="Corbel" w:cs="Arial"/>
          <w:b/>
        </w:rPr>
        <w:t>na te financijsko posredovanje</w:t>
      </w:r>
      <w:r w:rsidR="00035ED1" w:rsidRPr="00926B73">
        <w:rPr>
          <w:rFonts w:ascii="Corbel" w:hAnsi="Corbel" w:cs="Arial"/>
        </w:rPr>
        <w:t>.</w:t>
      </w:r>
      <w:r w:rsidRPr="00926B73">
        <w:rPr>
          <w:rFonts w:ascii="Corbel" w:hAnsi="Corbel" w:cs="Arial"/>
        </w:rPr>
        <w:t xml:space="preserve"> To su sektori koji</w:t>
      </w:r>
      <w:r w:rsidR="00035ED1" w:rsidRPr="00926B73">
        <w:rPr>
          <w:rFonts w:ascii="Corbel" w:hAnsi="Corbel" w:cs="Arial"/>
        </w:rPr>
        <w:t xml:space="preserve"> su rasli više od prosjeka RH</w:t>
      </w:r>
      <w:r w:rsidRPr="00926B73">
        <w:rPr>
          <w:rFonts w:ascii="Corbel" w:hAnsi="Corbel" w:cs="Arial"/>
        </w:rPr>
        <w:t xml:space="preserve"> </w:t>
      </w:r>
      <w:r w:rsidR="00035ED1" w:rsidRPr="00926B73">
        <w:rPr>
          <w:rFonts w:ascii="Corbel" w:hAnsi="Corbel" w:cs="Arial"/>
        </w:rPr>
        <w:t>što znači da su</w:t>
      </w:r>
      <w:r w:rsidRPr="00926B73">
        <w:rPr>
          <w:rFonts w:ascii="Corbel" w:hAnsi="Corbel" w:cs="Arial"/>
        </w:rPr>
        <w:t xml:space="preserve"> očigledno </w:t>
      </w:r>
      <w:r w:rsidR="00035ED1" w:rsidRPr="00926B73">
        <w:rPr>
          <w:rFonts w:ascii="Corbel" w:hAnsi="Corbel" w:cs="Arial"/>
        </w:rPr>
        <w:t>znali iskoristiti</w:t>
      </w:r>
      <w:r w:rsidRPr="00926B73">
        <w:rPr>
          <w:rFonts w:ascii="Corbel" w:hAnsi="Corbel" w:cs="Arial"/>
        </w:rPr>
        <w:t xml:space="preserve"> lokalnu konkurentsku prednost u Zadru u odnosu na druga područja RH. Budući sve ove sektore nije moguće razlomiti na niže </w:t>
      </w:r>
      <w:proofErr w:type="spellStart"/>
      <w:r w:rsidRPr="00926B73">
        <w:rPr>
          <w:rFonts w:ascii="Corbel" w:hAnsi="Corbel" w:cs="Arial"/>
        </w:rPr>
        <w:t>podsektore</w:t>
      </w:r>
      <w:proofErr w:type="spellEnd"/>
      <w:r w:rsidRPr="00926B73">
        <w:rPr>
          <w:rFonts w:ascii="Corbel" w:hAnsi="Corbel" w:cs="Arial"/>
        </w:rPr>
        <w:t xml:space="preserve"> tako nije moguće vidjeti koje su djelatnosti </w:t>
      </w:r>
      <w:r w:rsidRPr="00926B73">
        <w:rPr>
          <w:rFonts w:ascii="Corbel" w:hAnsi="Corbel" w:cs="Arial"/>
        </w:rPr>
        <w:lastRenderedPageBreak/>
        <w:t>unutar glavnog razreda djelatnosti konkurentne u odnosu na RH.</w:t>
      </w:r>
      <w:r w:rsidR="00035ED1" w:rsidRPr="00926B73">
        <w:rPr>
          <w:rFonts w:ascii="Corbel" w:hAnsi="Corbel" w:cs="Arial"/>
        </w:rPr>
        <w:t xml:space="preserve"> No, </w:t>
      </w:r>
      <w:r w:rsidRPr="00926B73">
        <w:rPr>
          <w:rFonts w:ascii="Corbel" w:hAnsi="Corbel" w:cs="Arial"/>
        </w:rPr>
        <w:t xml:space="preserve">prema drugim podacima kojima raspolažemo (FINA) u konkurentske sektore možemo dodati i sektor </w:t>
      </w:r>
      <w:r w:rsidR="00C14BB4" w:rsidRPr="00926B73">
        <w:rPr>
          <w:rFonts w:ascii="Corbel" w:hAnsi="Corbel" w:cs="Arial"/>
        </w:rPr>
        <w:t xml:space="preserve">poslovnih usluga te usluga iznajmljivanje i poslovanja nekretninama </w:t>
      </w:r>
      <w:r w:rsidR="00035ED1" w:rsidRPr="00926B73">
        <w:rPr>
          <w:rFonts w:ascii="Corbel" w:hAnsi="Corbel" w:cs="Arial"/>
        </w:rPr>
        <w:t>(djelatnost K)</w:t>
      </w:r>
      <w:r w:rsidR="00C14BB4" w:rsidRPr="00926B73">
        <w:rPr>
          <w:rFonts w:ascii="Corbel" w:hAnsi="Corbel" w:cs="Arial"/>
        </w:rPr>
        <w:t>.</w:t>
      </w:r>
    </w:p>
    <w:p w:rsidR="007E1B48" w:rsidRPr="00926B73" w:rsidRDefault="00375C90" w:rsidP="00002406">
      <w:pPr>
        <w:spacing w:after="120" w:line="240" w:lineRule="auto"/>
        <w:jc w:val="both"/>
        <w:rPr>
          <w:rFonts w:ascii="Corbel" w:hAnsi="Corbel" w:cs="Arial"/>
          <w:b/>
          <w:i/>
        </w:rPr>
      </w:pPr>
      <w:r w:rsidRPr="001D6AD0">
        <w:rPr>
          <w:rFonts w:ascii="Corbel" w:hAnsi="Corbel" w:cs="Arial"/>
          <w:b/>
          <w:i/>
        </w:rPr>
        <w:t xml:space="preserve">Nacionalna komponenta </w:t>
      </w:r>
      <w:r w:rsidRPr="00926B73">
        <w:rPr>
          <w:rFonts w:ascii="Corbel" w:hAnsi="Corbel" w:cs="Arial"/>
          <w:b/>
          <w:i/>
        </w:rPr>
        <w:t>rasta</w:t>
      </w:r>
      <w:r w:rsidR="0039512F" w:rsidRPr="00926B73">
        <w:rPr>
          <w:rFonts w:ascii="Corbel" w:hAnsi="Corbel" w:cs="Arial"/>
          <w:b/>
          <w:i/>
        </w:rPr>
        <w:t xml:space="preserve"> (</w:t>
      </w:r>
      <w:r w:rsidR="00462619" w:rsidRPr="00926B73">
        <w:rPr>
          <w:rFonts w:ascii="Corbel" w:hAnsi="Corbel" w:cs="Arial"/>
          <w:b/>
          <w:i/>
        </w:rPr>
        <w:t>šesta</w:t>
      </w:r>
      <w:r w:rsidR="00F154EF" w:rsidRPr="00926B73">
        <w:rPr>
          <w:rFonts w:ascii="Corbel" w:hAnsi="Corbel" w:cs="Arial"/>
          <w:b/>
          <w:i/>
        </w:rPr>
        <w:t xml:space="preserve"> kolona</w:t>
      </w:r>
      <w:r w:rsidR="0039512F" w:rsidRPr="00926B73">
        <w:rPr>
          <w:rFonts w:ascii="Corbel" w:hAnsi="Corbel" w:cs="Arial"/>
          <w:b/>
          <w:i/>
        </w:rPr>
        <w:t xml:space="preserve"> )</w:t>
      </w:r>
    </w:p>
    <w:p w:rsidR="008155F6" w:rsidRPr="00002406" w:rsidRDefault="00BA0223" w:rsidP="00002406">
      <w:pPr>
        <w:spacing w:after="120" w:line="240" w:lineRule="auto"/>
        <w:jc w:val="both"/>
        <w:rPr>
          <w:rFonts w:ascii="Corbel" w:hAnsi="Corbel" w:cs="Arial"/>
        </w:rPr>
      </w:pPr>
      <w:r w:rsidRPr="00926B73">
        <w:rPr>
          <w:rFonts w:ascii="Corbel" w:hAnsi="Corbel" w:cs="Arial"/>
        </w:rPr>
        <w:t>Analiza „nacionalne komponente“ pokazuje kako bi,</w:t>
      </w:r>
      <w:r w:rsidRPr="00002406">
        <w:rPr>
          <w:rFonts w:ascii="Corbel" w:hAnsi="Corbel" w:cs="Arial"/>
        </w:rPr>
        <w:t xml:space="preserve"> da je grad Zadar bilježio ekonomski rast proporcionalan prosječnom rastu u RH, u navedenom razdoblju povećao broj zaposlenih</w:t>
      </w:r>
      <w:r w:rsidR="008155F6" w:rsidRPr="00002406">
        <w:rPr>
          <w:rFonts w:ascii="Corbel" w:hAnsi="Corbel" w:cs="Arial"/>
        </w:rPr>
        <w:t xml:space="preserve"> za</w:t>
      </w:r>
      <w:r w:rsidR="00CD28CA" w:rsidRPr="00002406">
        <w:rPr>
          <w:rFonts w:ascii="Corbel" w:hAnsi="Corbel" w:cs="Arial"/>
        </w:rPr>
        <w:t xml:space="preserve"> 2.057 zaposlenih, što je manje od stvarnog rasta (3.722)</w:t>
      </w:r>
      <w:r w:rsidR="000848B4" w:rsidRPr="00002406">
        <w:rPr>
          <w:rFonts w:ascii="Corbel" w:hAnsi="Corbel" w:cs="Arial"/>
        </w:rPr>
        <w:t xml:space="preserve">. Možemo zaključiti kako je nacionalni doprinos rastu 2.057 radnika, dok je ostalo (do 3.722) rezultat lokalne politike. Iako i ta razlika bi bila manja da je manji bio stvarni rast javne uprave (rast od 1199 zaposlenih). </w:t>
      </w:r>
      <w:r w:rsidR="00462619" w:rsidRPr="00002406">
        <w:rPr>
          <w:rFonts w:ascii="Corbel" w:hAnsi="Corbel" w:cs="Arial"/>
        </w:rPr>
        <w:t xml:space="preserve">Prema tome, </w:t>
      </w:r>
      <w:r w:rsidR="00462619" w:rsidRPr="00DE1EA9">
        <w:rPr>
          <w:rFonts w:ascii="Corbel" w:hAnsi="Corbel" w:cs="Arial"/>
          <w:b/>
        </w:rPr>
        <w:t>možemo zaključiti kako rast lokalne ekonomije u dobrom djelu možemo pripisati rastu nacionalne ekonomije</w:t>
      </w:r>
      <w:r w:rsidR="00462619" w:rsidRPr="00002406">
        <w:rPr>
          <w:rFonts w:ascii="Corbel" w:hAnsi="Corbel" w:cs="Arial"/>
        </w:rPr>
        <w:t>.</w:t>
      </w:r>
    </w:p>
    <w:p w:rsidR="00375C90" w:rsidRPr="00002406" w:rsidRDefault="00BA0223" w:rsidP="00002406">
      <w:pPr>
        <w:spacing w:after="120" w:line="240" w:lineRule="auto"/>
        <w:jc w:val="both"/>
        <w:rPr>
          <w:rFonts w:ascii="Corbel" w:hAnsi="Corbel" w:cs="Arial"/>
        </w:rPr>
      </w:pPr>
      <w:r w:rsidRPr="00002406">
        <w:rPr>
          <w:rFonts w:ascii="Corbel" w:hAnsi="Corbel" w:cs="Arial"/>
        </w:rPr>
        <w:t xml:space="preserve">Nacionalna komponenta pokazuje koliko lokalne zaposlenosti možemo pripisati rastu nacionalne ekonomije, odnosno koliko je lokalnu zaposlenost potaknula nacionalna politika rasta. </w:t>
      </w:r>
      <w:r w:rsidRPr="00002406">
        <w:rPr>
          <w:rFonts w:ascii="Corbel" w:hAnsi="Corbel" w:cs="Arial"/>
          <w:b/>
        </w:rPr>
        <w:t xml:space="preserve">Za sve gradove kao i za Zadar ova komponenta pokazuje pozitivnu vrijednost što znači da je lokalni rast </w:t>
      </w:r>
      <w:r w:rsidR="00462619" w:rsidRPr="00002406">
        <w:rPr>
          <w:rFonts w:ascii="Corbel" w:hAnsi="Corbel" w:cs="Arial"/>
          <w:b/>
        </w:rPr>
        <w:t xml:space="preserve">u RH </w:t>
      </w:r>
      <w:r w:rsidRPr="00002406">
        <w:rPr>
          <w:rFonts w:ascii="Corbel" w:hAnsi="Corbel" w:cs="Arial"/>
          <w:b/>
        </w:rPr>
        <w:t>uglavnom iniciran nacionalnom razinom</w:t>
      </w:r>
      <w:r w:rsidR="008155F6" w:rsidRPr="00002406">
        <w:rPr>
          <w:rFonts w:ascii="Corbel" w:hAnsi="Corbel" w:cs="Arial"/>
          <w:b/>
        </w:rPr>
        <w:t xml:space="preserve"> </w:t>
      </w:r>
      <w:sdt>
        <w:sdtPr>
          <w:rPr>
            <w:rFonts w:ascii="Corbel" w:hAnsi="Corbel" w:cs="Arial"/>
            <w:b/>
          </w:rPr>
          <w:id w:val="650170617"/>
          <w:citation/>
        </w:sdtPr>
        <w:sdtContent>
          <w:r w:rsidR="008155F6" w:rsidRPr="00002406">
            <w:rPr>
              <w:rFonts w:ascii="Corbel" w:hAnsi="Corbel" w:cs="Arial"/>
              <w:b/>
            </w:rPr>
            <w:fldChar w:fldCharType="begin"/>
          </w:r>
          <w:r w:rsidR="008155F6" w:rsidRPr="00002406">
            <w:rPr>
              <w:rFonts w:ascii="Corbel" w:hAnsi="Corbel" w:cs="Arial"/>
              <w:b/>
            </w:rPr>
            <w:instrText xml:space="preserve"> CITATION Čav12 \l 1050 </w:instrText>
          </w:r>
          <w:r w:rsidR="008155F6" w:rsidRPr="00002406">
            <w:rPr>
              <w:rFonts w:ascii="Corbel" w:hAnsi="Corbel" w:cs="Arial"/>
              <w:b/>
            </w:rPr>
            <w:fldChar w:fldCharType="separate"/>
          </w:r>
          <w:r w:rsidR="008155F6" w:rsidRPr="00002406">
            <w:rPr>
              <w:rFonts w:ascii="Corbel" w:hAnsi="Corbel" w:cs="Arial"/>
              <w:noProof/>
            </w:rPr>
            <w:t>(Čavrak, 2012)</w:t>
          </w:r>
          <w:r w:rsidR="008155F6" w:rsidRPr="00002406">
            <w:rPr>
              <w:rFonts w:ascii="Corbel" w:hAnsi="Corbel" w:cs="Arial"/>
              <w:b/>
            </w:rPr>
            <w:fldChar w:fldCharType="end"/>
          </w:r>
        </w:sdtContent>
      </w:sdt>
      <w:r w:rsidRPr="00002406">
        <w:rPr>
          <w:rFonts w:ascii="Corbel" w:hAnsi="Corbel" w:cs="Arial"/>
          <w:b/>
        </w:rPr>
        <w:t xml:space="preserve">. </w:t>
      </w:r>
    </w:p>
    <w:p w:rsidR="00375C90" w:rsidRPr="00002406" w:rsidRDefault="00462619" w:rsidP="00002406">
      <w:pPr>
        <w:spacing w:after="120"/>
        <w:jc w:val="both"/>
        <w:rPr>
          <w:rFonts w:ascii="Corbel" w:hAnsi="Corbel" w:cs="Arial"/>
          <w:b/>
          <w:i/>
        </w:rPr>
      </w:pPr>
      <w:proofErr w:type="spellStart"/>
      <w:r w:rsidRPr="00002406">
        <w:rPr>
          <w:rFonts w:ascii="Corbel" w:hAnsi="Corbel" w:cs="Arial"/>
          <w:b/>
          <w:i/>
        </w:rPr>
        <w:t>Miks</w:t>
      </w:r>
      <w:proofErr w:type="spellEnd"/>
      <w:r w:rsidRPr="00002406">
        <w:rPr>
          <w:rFonts w:ascii="Corbel" w:hAnsi="Corbel" w:cs="Arial"/>
          <w:b/>
          <w:i/>
        </w:rPr>
        <w:t xml:space="preserve"> komponenta (sedma kolona)</w:t>
      </w:r>
    </w:p>
    <w:p w:rsidR="00375C90" w:rsidRPr="00002406" w:rsidRDefault="00541D9F" w:rsidP="00002406">
      <w:pPr>
        <w:spacing w:after="120" w:line="240" w:lineRule="auto"/>
        <w:jc w:val="both"/>
        <w:rPr>
          <w:rFonts w:ascii="Corbel" w:hAnsi="Corbel" w:cs="Arial"/>
        </w:rPr>
      </w:pPr>
      <w:proofErr w:type="spellStart"/>
      <w:r w:rsidRPr="00002406">
        <w:rPr>
          <w:rFonts w:ascii="Corbel" w:hAnsi="Corbel" w:cs="Arial"/>
        </w:rPr>
        <w:t>Miks</w:t>
      </w:r>
      <w:proofErr w:type="spellEnd"/>
      <w:r w:rsidRPr="00002406">
        <w:rPr>
          <w:rFonts w:ascii="Corbel" w:hAnsi="Corbel" w:cs="Arial"/>
        </w:rPr>
        <w:t xml:space="preserve"> komponenta djelatnosti pokazuje udio zaposlenosti sporo rastućih ili brzo rastućih sektora u ukupnoj zaposlenosti lokalne ekonomije (primjerice ukoliko postoji disproporcionalna</w:t>
      </w:r>
      <w:r w:rsidR="00267A28" w:rsidRPr="00002406">
        <w:rPr>
          <w:rFonts w:ascii="Corbel" w:hAnsi="Corbel" w:cs="Arial"/>
        </w:rPr>
        <w:t xml:space="preserve"> razina</w:t>
      </w:r>
      <w:r w:rsidRPr="00002406">
        <w:rPr>
          <w:rFonts w:ascii="Corbel" w:hAnsi="Corbel" w:cs="Arial"/>
        </w:rPr>
        <w:t xml:space="preserve"> zaposlenosti u onim industrijama koje rastu brzo/sporo na nacionalnoj razini</w:t>
      </w:r>
      <w:r w:rsidR="00267A28" w:rsidRPr="00002406">
        <w:rPr>
          <w:rFonts w:ascii="Corbel" w:hAnsi="Corbel" w:cs="Arial"/>
        </w:rPr>
        <w:t>).</w:t>
      </w:r>
      <w:r w:rsidRPr="00002406">
        <w:rPr>
          <w:rFonts w:ascii="Corbel" w:hAnsi="Corbel" w:cs="Arial"/>
        </w:rPr>
        <w:t xml:space="preserve"> </w:t>
      </w:r>
      <w:r w:rsidR="00203D2C" w:rsidRPr="00002406">
        <w:rPr>
          <w:rFonts w:ascii="Corbel" w:hAnsi="Corbel" w:cs="Arial"/>
        </w:rPr>
        <w:t>Dakle, razlika između stope rasta u nekoj djelatnosti u RH i cjelokupne stope rasta ekonomije RH je efekt miksa djelatnosti.</w:t>
      </w:r>
    </w:p>
    <w:p w:rsidR="004A18AF" w:rsidRPr="00926B73" w:rsidRDefault="00962FFE" w:rsidP="00002406">
      <w:pPr>
        <w:spacing w:after="120" w:line="240" w:lineRule="auto"/>
        <w:jc w:val="both"/>
        <w:rPr>
          <w:rFonts w:ascii="Corbel" w:hAnsi="Corbel" w:cs="Arial"/>
        </w:rPr>
      </w:pPr>
      <w:r w:rsidRPr="00926B73">
        <w:rPr>
          <w:rFonts w:ascii="Corbel" w:hAnsi="Corbel" w:cs="Arial"/>
        </w:rPr>
        <w:t xml:space="preserve">Miješana komponenta pokazuje </w:t>
      </w:r>
      <w:r w:rsidR="00203D2C" w:rsidRPr="00926B73">
        <w:rPr>
          <w:rFonts w:ascii="Corbel" w:hAnsi="Corbel" w:cs="Arial"/>
        </w:rPr>
        <w:t>pozitivnu</w:t>
      </w:r>
      <w:r w:rsidRPr="00926B73">
        <w:rPr>
          <w:rFonts w:ascii="Corbel" w:hAnsi="Corbel" w:cs="Arial"/>
        </w:rPr>
        <w:t xml:space="preserve"> vrijednost od </w:t>
      </w:r>
      <w:r w:rsidR="00203D2C" w:rsidRPr="00926B73">
        <w:rPr>
          <w:rFonts w:ascii="Corbel" w:hAnsi="Corbel" w:cs="Arial"/>
        </w:rPr>
        <w:t>675</w:t>
      </w:r>
      <w:r w:rsidRPr="00926B73">
        <w:rPr>
          <w:rFonts w:ascii="Corbel" w:hAnsi="Corbel" w:cs="Arial"/>
        </w:rPr>
        <w:t xml:space="preserve"> zaposle</w:t>
      </w:r>
      <w:r w:rsidR="00203D2C" w:rsidRPr="00926B73">
        <w:rPr>
          <w:rFonts w:ascii="Corbel" w:hAnsi="Corbel" w:cs="Arial"/>
        </w:rPr>
        <w:t>nih – što pokazuje kako Zadar</w:t>
      </w:r>
      <w:r w:rsidRPr="00926B73">
        <w:rPr>
          <w:rFonts w:ascii="Corbel" w:hAnsi="Corbel" w:cs="Arial"/>
        </w:rPr>
        <w:t xml:space="preserve"> ima </w:t>
      </w:r>
      <w:r w:rsidR="00203D2C" w:rsidRPr="00926B73">
        <w:rPr>
          <w:rFonts w:ascii="Corbel" w:hAnsi="Corbel" w:cs="Arial"/>
        </w:rPr>
        <w:t>675</w:t>
      </w:r>
      <w:r w:rsidRPr="00926B73">
        <w:rPr>
          <w:rFonts w:ascii="Corbel" w:hAnsi="Corbel" w:cs="Arial"/>
        </w:rPr>
        <w:t xml:space="preserve"> novih radnih mjesta </w:t>
      </w:r>
      <w:r w:rsidR="00203D2C" w:rsidRPr="00926B73">
        <w:rPr>
          <w:rFonts w:ascii="Corbel" w:hAnsi="Corbel" w:cs="Arial"/>
        </w:rPr>
        <w:t>više nego što bi imao</w:t>
      </w:r>
      <w:r w:rsidRPr="00926B73">
        <w:rPr>
          <w:rFonts w:ascii="Corbel" w:hAnsi="Corbel" w:cs="Arial"/>
        </w:rPr>
        <w:t xml:space="preserve"> kada bi </w:t>
      </w:r>
      <w:r w:rsidR="00203D2C" w:rsidRPr="00926B73">
        <w:rPr>
          <w:rFonts w:ascii="Corbel" w:hAnsi="Corbel" w:cs="Arial"/>
        </w:rPr>
        <w:t>mu</w:t>
      </w:r>
      <w:r w:rsidRPr="00926B73">
        <w:rPr>
          <w:rFonts w:ascii="Corbel" w:hAnsi="Corbel" w:cs="Arial"/>
        </w:rPr>
        <w:t xml:space="preserve"> struktura zaposlenosti bila proporcionalna nacionalnoj, pa možemo zaključiti kako </w:t>
      </w:r>
      <w:r w:rsidR="00D638D5" w:rsidRPr="00926B73">
        <w:rPr>
          <w:rFonts w:ascii="Corbel" w:hAnsi="Corbel" w:cs="Arial"/>
        </w:rPr>
        <w:t>u strukturi djelatnosti Zadar</w:t>
      </w:r>
      <w:r w:rsidRPr="00926B73">
        <w:rPr>
          <w:rFonts w:ascii="Corbel" w:hAnsi="Corbel" w:cs="Arial"/>
        </w:rPr>
        <w:t xml:space="preserve"> naginje onim industrijama koje na nacionalnoj razini rastu </w:t>
      </w:r>
      <w:r w:rsidR="00203D2C" w:rsidRPr="00926B73">
        <w:rPr>
          <w:rFonts w:ascii="Corbel" w:hAnsi="Corbel" w:cs="Arial"/>
        </w:rPr>
        <w:t>brže.</w:t>
      </w:r>
    </w:p>
    <w:p w:rsidR="00D638D5" w:rsidRPr="00002406" w:rsidRDefault="00D638D5" w:rsidP="00002406">
      <w:pPr>
        <w:spacing w:after="120" w:line="240" w:lineRule="auto"/>
        <w:jc w:val="both"/>
        <w:rPr>
          <w:rFonts w:ascii="Corbel" w:hAnsi="Corbel" w:cs="Arial"/>
        </w:rPr>
      </w:pPr>
      <w:r w:rsidRPr="00926B73">
        <w:rPr>
          <w:rFonts w:ascii="Corbel" w:hAnsi="Corbel" w:cs="Arial"/>
        </w:rPr>
        <w:t>Da je Zadar imao gospodarsku strukturu prop</w:t>
      </w:r>
      <w:r w:rsidR="001D5399" w:rsidRPr="00926B73">
        <w:rPr>
          <w:rFonts w:ascii="Corbel" w:hAnsi="Corbel" w:cs="Arial"/>
        </w:rPr>
        <w:t>orcionalnu RH gospodarstvu</w:t>
      </w:r>
      <w:r w:rsidRPr="00002406">
        <w:rPr>
          <w:rFonts w:ascii="Corbel" w:hAnsi="Corbel" w:cs="Arial"/>
        </w:rPr>
        <w:t xml:space="preserve"> </w:t>
      </w:r>
      <w:proofErr w:type="spellStart"/>
      <w:r w:rsidRPr="00002406">
        <w:rPr>
          <w:rFonts w:ascii="Corbel" w:hAnsi="Corbel" w:cs="Arial"/>
        </w:rPr>
        <w:t>miks</w:t>
      </w:r>
      <w:proofErr w:type="spellEnd"/>
      <w:r w:rsidRPr="00002406">
        <w:rPr>
          <w:rFonts w:ascii="Corbel" w:hAnsi="Corbel" w:cs="Arial"/>
        </w:rPr>
        <w:t xml:space="preserve"> komponenta bi bila jednaka nula. Dakle, djelatnosti koje imaju pozitivnu komponentu miksa su djelatnosti koje su ras</w:t>
      </w:r>
      <w:r w:rsidR="001D5399" w:rsidRPr="00002406">
        <w:rPr>
          <w:rFonts w:ascii="Corbel" w:hAnsi="Corbel" w:cs="Arial"/>
        </w:rPr>
        <w:t xml:space="preserve">le brže od ukupnog RH prosjeka, a grad Zadar ima udjela u rastu u </w:t>
      </w:r>
      <w:r w:rsidR="00D27D8A" w:rsidRPr="00002406">
        <w:rPr>
          <w:rFonts w:ascii="Corbel" w:hAnsi="Corbel" w:cs="Arial"/>
        </w:rPr>
        <w:t>većini</w:t>
      </w:r>
      <w:r w:rsidR="001D5399" w:rsidRPr="00002406">
        <w:rPr>
          <w:rFonts w:ascii="Corbel" w:hAnsi="Corbel" w:cs="Arial"/>
        </w:rPr>
        <w:t xml:space="preserve"> od tih brzo rastućih djelatnosti.</w:t>
      </w:r>
    </w:p>
    <w:p w:rsidR="001D5399" w:rsidRPr="00002406" w:rsidRDefault="001D5399" w:rsidP="00002406">
      <w:pPr>
        <w:spacing w:after="120" w:line="240" w:lineRule="auto"/>
        <w:jc w:val="both"/>
        <w:rPr>
          <w:rFonts w:ascii="Corbel" w:hAnsi="Corbel" w:cs="Arial"/>
        </w:rPr>
      </w:pPr>
      <w:r w:rsidRPr="00002406">
        <w:rPr>
          <w:rFonts w:ascii="Corbel" w:hAnsi="Corbel" w:cs="Arial"/>
        </w:rPr>
        <w:t>Brzo rastuće djelatnosti u RH su:</w:t>
      </w:r>
    </w:p>
    <w:p w:rsidR="001D5399" w:rsidRPr="00002406" w:rsidRDefault="001D5399" w:rsidP="00002406">
      <w:pPr>
        <w:pStyle w:val="Odlomakpopisa"/>
        <w:numPr>
          <w:ilvl w:val="0"/>
          <w:numId w:val="16"/>
        </w:numPr>
        <w:spacing w:after="120" w:line="240" w:lineRule="auto"/>
        <w:jc w:val="both"/>
        <w:rPr>
          <w:rFonts w:ascii="Corbel" w:hAnsi="Corbel" w:cs="Arial"/>
        </w:rPr>
      </w:pPr>
      <w:r w:rsidRPr="00002406">
        <w:rPr>
          <w:rFonts w:ascii="Corbel" w:hAnsi="Corbel" w:cs="Arial"/>
        </w:rPr>
        <w:t>Građevinarstvo</w:t>
      </w:r>
    </w:p>
    <w:p w:rsidR="001D5399" w:rsidRPr="00002406" w:rsidRDefault="001D5399" w:rsidP="00002406">
      <w:pPr>
        <w:pStyle w:val="Odlomakpopisa"/>
        <w:numPr>
          <w:ilvl w:val="0"/>
          <w:numId w:val="16"/>
        </w:numPr>
        <w:spacing w:after="120" w:line="240" w:lineRule="auto"/>
        <w:jc w:val="both"/>
        <w:rPr>
          <w:rFonts w:ascii="Corbel" w:hAnsi="Corbel" w:cs="Arial"/>
        </w:rPr>
      </w:pPr>
      <w:r w:rsidRPr="00002406">
        <w:rPr>
          <w:rFonts w:ascii="Corbel" w:hAnsi="Corbel" w:cs="Arial"/>
        </w:rPr>
        <w:t>Trgovina</w:t>
      </w:r>
    </w:p>
    <w:p w:rsidR="001D5399" w:rsidRPr="00002406" w:rsidRDefault="001D5399" w:rsidP="00002406">
      <w:pPr>
        <w:pStyle w:val="Odlomakpopisa"/>
        <w:numPr>
          <w:ilvl w:val="0"/>
          <w:numId w:val="16"/>
        </w:numPr>
        <w:spacing w:after="120" w:line="240" w:lineRule="auto"/>
        <w:jc w:val="both"/>
        <w:rPr>
          <w:rFonts w:ascii="Corbel" w:hAnsi="Corbel" w:cs="Arial"/>
        </w:rPr>
      </w:pPr>
      <w:r w:rsidRPr="00002406">
        <w:rPr>
          <w:rFonts w:ascii="Corbel" w:hAnsi="Corbel" w:cs="Arial"/>
        </w:rPr>
        <w:t>Financijsko posredovanje</w:t>
      </w:r>
    </w:p>
    <w:p w:rsidR="001D5399" w:rsidRPr="00002406" w:rsidRDefault="001D5399" w:rsidP="00002406">
      <w:pPr>
        <w:pStyle w:val="Odlomakpopisa"/>
        <w:numPr>
          <w:ilvl w:val="0"/>
          <w:numId w:val="16"/>
        </w:numPr>
        <w:spacing w:after="120" w:line="240" w:lineRule="auto"/>
        <w:jc w:val="both"/>
        <w:rPr>
          <w:rFonts w:ascii="Corbel" w:hAnsi="Corbel" w:cs="Arial"/>
        </w:rPr>
      </w:pPr>
      <w:r w:rsidRPr="00002406">
        <w:rPr>
          <w:rFonts w:ascii="Corbel" w:hAnsi="Corbel" w:cs="Arial"/>
        </w:rPr>
        <w:t>Poslovanje nekretninama</w:t>
      </w:r>
    </w:p>
    <w:p w:rsidR="001D5399" w:rsidRPr="00002406" w:rsidRDefault="001D5399" w:rsidP="00002406">
      <w:pPr>
        <w:pStyle w:val="Odlomakpopisa"/>
        <w:numPr>
          <w:ilvl w:val="0"/>
          <w:numId w:val="16"/>
        </w:numPr>
        <w:spacing w:after="120" w:line="240" w:lineRule="auto"/>
        <w:jc w:val="both"/>
        <w:rPr>
          <w:rFonts w:ascii="Corbel" w:hAnsi="Corbel" w:cs="Arial"/>
        </w:rPr>
      </w:pPr>
      <w:r w:rsidRPr="00002406">
        <w:rPr>
          <w:rFonts w:ascii="Corbel" w:hAnsi="Corbel" w:cs="Arial"/>
        </w:rPr>
        <w:t>Obrazovanje</w:t>
      </w:r>
    </w:p>
    <w:p w:rsidR="001D5399" w:rsidRPr="00002406" w:rsidRDefault="001D5399" w:rsidP="00002406">
      <w:pPr>
        <w:spacing w:after="120" w:line="240" w:lineRule="auto"/>
        <w:jc w:val="both"/>
        <w:rPr>
          <w:rFonts w:ascii="Corbel" w:hAnsi="Corbel" w:cs="Arial"/>
        </w:rPr>
      </w:pPr>
      <w:r w:rsidRPr="00002406">
        <w:rPr>
          <w:rFonts w:ascii="Corbel" w:hAnsi="Corbel" w:cs="Arial"/>
        </w:rPr>
        <w:t xml:space="preserve">Grad Zadar u svim ovim djelatnostima </w:t>
      </w:r>
      <w:r w:rsidR="00BD31D6" w:rsidRPr="00002406">
        <w:rPr>
          <w:rFonts w:ascii="Corbel" w:hAnsi="Corbel" w:cs="Arial"/>
        </w:rPr>
        <w:t xml:space="preserve">ima rast, što znači da su većina brzorastućih djelatnosti u RH također brzorastuće djelatnosti i na lokalnoj razini. </w:t>
      </w:r>
      <w:r w:rsidR="007D4FCA" w:rsidRPr="00002406">
        <w:rPr>
          <w:rFonts w:ascii="Corbel" w:hAnsi="Corbel" w:cs="Arial"/>
        </w:rPr>
        <w:t>T</w:t>
      </w:r>
      <w:r w:rsidR="00BD31D6" w:rsidRPr="00002406">
        <w:rPr>
          <w:rFonts w:ascii="Corbel" w:hAnsi="Corbel" w:cs="Arial"/>
        </w:rPr>
        <w:t xml:space="preserve">o potvrđuje zaključke prethodne analize, a to je da </w:t>
      </w:r>
      <w:r w:rsidR="00BD31D6" w:rsidRPr="00002406">
        <w:rPr>
          <w:rFonts w:ascii="Corbel" w:hAnsi="Corbel" w:cs="Arial"/>
          <w:b/>
        </w:rPr>
        <w:t>je lokalni rast u RH uglavnom iniciran nacionalnom razinom</w:t>
      </w:r>
      <w:r w:rsidR="00D27D8A" w:rsidRPr="00002406">
        <w:rPr>
          <w:rFonts w:ascii="Corbel" w:hAnsi="Corbel" w:cs="Arial"/>
        </w:rPr>
        <w:t>.</w:t>
      </w:r>
    </w:p>
    <w:p w:rsidR="004A18AF" w:rsidRPr="00002406" w:rsidRDefault="004A18AF" w:rsidP="00002406">
      <w:pPr>
        <w:pBdr>
          <w:top w:val="single" w:sz="4" w:space="1" w:color="auto"/>
          <w:left w:val="single" w:sz="4" w:space="4" w:color="auto"/>
          <w:bottom w:val="single" w:sz="4" w:space="1" w:color="auto"/>
          <w:right w:val="single" w:sz="4" w:space="4" w:color="auto"/>
        </w:pBdr>
        <w:spacing w:after="120"/>
        <w:jc w:val="both"/>
        <w:rPr>
          <w:rFonts w:ascii="Corbel" w:hAnsi="Corbel" w:cs="Arial"/>
        </w:rPr>
      </w:pPr>
      <w:proofErr w:type="spellStart"/>
      <w:r w:rsidRPr="00002406">
        <w:rPr>
          <w:rFonts w:ascii="Corbel" w:hAnsi="Corbel"/>
          <w:i/>
          <w:iCs/>
        </w:rPr>
        <w:t>Shift</w:t>
      </w:r>
      <w:proofErr w:type="spellEnd"/>
      <w:r w:rsidRPr="00002406">
        <w:rPr>
          <w:rFonts w:ascii="Corbel" w:hAnsi="Corbel"/>
          <w:i/>
          <w:iCs/>
        </w:rPr>
        <w:t>-</w:t>
      </w:r>
      <w:proofErr w:type="spellStart"/>
      <w:r w:rsidRPr="00002406">
        <w:rPr>
          <w:rFonts w:ascii="Corbel" w:hAnsi="Corbel"/>
          <w:i/>
          <w:iCs/>
        </w:rPr>
        <w:t>share</w:t>
      </w:r>
      <w:proofErr w:type="spellEnd"/>
      <w:r w:rsidRPr="00002406">
        <w:rPr>
          <w:rFonts w:ascii="Corbel" w:hAnsi="Corbel"/>
          <w:i/>
          <w:iCs/>
        </w:rPr>
        <w:t xml:space="preserve"> </w:t>
      </w:r>
      <w:r w:rsidRPr="00002406">
        <w:rPr>
          <w:rFonts w:ascii="Corbel" w:hAnsi="Corbel"/>
        </w:rPr>
        <w:t xml:space="preserve">analiza samo pokazuje stanje i trend, ali ne omogućuje podrobno objašnjenje uzroka lokalne </w:t>
      </w:r>
      <w:proofErr w:type="spellStart"/>
      <w:r w:rsidRPr="00002406">
        <w:rPr>
          <w:rFonts w:ascii="Corbel" w:hAnsi="Corbel"/>
        </w:rPr>
        <w:t>nekonkurentnosti</w:t>
      </w:r>
      <w:proofErr w:type="spellEnd"/>
      <w:r w:rsidRPr="00002406">
        <w:rPr>
          <w:rFonts w:ascii="Corbel" w:hAnsi="Corbel"/>
        </w:rPr>
        <w:t>. Dakle, ostaje otvoreno pitanje je li problem u neadekvatnoj sposobnosti lokalne zajednice i lokalnog sustava ili je problem u nedostatku nekih resursa, odgovarajuće infrastrukture i slično .</w:t>
      </w:r>
    </w:p>
    <w:p w:rsidR="004A18AF" w:rsidRDefault="004A18AF" w:rsidP="003D0416">
      <w:pPr>
        <w:jc w:val="both"/>
        <w:rPr>
          <w:rFonts w:ascii="Times New Roman" w:hAnsi="Times New Roman" w:cs="Arial"/>
        </w:rPr>
      </w:pPr>
    </w:p>
    <w:p w:rsidR="0041452A" w:rsidRDefault="0041452A" w:rsidP="003D0416">
      <w:pPr>
        <w:jc w:val="both"/>
        <w:rPr>
          <w:rFonts w:ascii="Times New Roman" w:hAnsi="Times New Roman" w:cs="Arial"/>
        </w:rPr>
      </w:pPr>
    </w:p>
    <w:p w:rsidR="003F1632" w:rsidRPr="00B37C59" w:rsidRDefault="0041452A" w:rsidP="00B37C59">
      <w:pPr>
        <w:pStyle w:val="Naslov2"/>
        <w:spacing w:after="120"/>
      </w:pPr>
      <w:bookmarkStart w:id="37" w:name="_Toc351539737"/>
      <w:r w:rsidRPr="00B37C59">
        <w:lastRenderedPageBreak/>
        <w:t>4</w:t>
      </w:r>
      <w:r w:rsidR="00412AD8" w:rsidRPr="00B37C59">
        <w:t xml:space="preserve">.2 </w:t>
      </w:r>
      <w:r w:rsidR="00CC18BD" w:rsidRPr="00B37C59">
        <w:t>KRETANJE</w:t>
      </w:r>
      <w:r w:rsidR="00051B90" w:rsidRPr="00B37C59">
        <w:t xml:space="preserve"> </w:t>
      </w:r>
      <w:r w:rsidR="00C94E50" w:rsidRPr="00B37C59">
        <w:t>GOSPODARSTVA</w:t>
      </w:r>
      <w:r w:rsidR="00051B90" w:rsidRPr="00B37C59">
        <w:t xml:space="preserve"> U RECESIJI</w:t>
      </w:r>
      <w:bookmarkEnd w:id="37"/>
      <w:r w:rsidR="00051B90" w:rsidRPr="00B37C59">
        <w:t xml:space="preserve"> </w:t>
      </w:r>
    </w:p>
    <w:p w:rsidR="00C94E50" w:rsidRPr="00002406" w:rsidRDefault="00D1278C" w:rsidP="00002406">
      <w:pPr>
        <w:spacing w:line="240" w:lineRule="auto"/>
        <w:rPr>
          <w:rFonts w:ascii="Corbel" w:hAnsi="Corbel"/>
          <w:b/>
        </w:rPr>
      </w:pPr>
      <w:r w:rsidRPr="00002406">
        <w:rPr>
          <w:rFonts w:ascii="Corbel" w:hAnsi="Corbel"/>
        </w:rPr>
        <w:t>Administrativni podaci o kretanju zaposlenih u pravnim osobama prema sektoru djelatnosti pružaju ažurnu sliku područja djelatnosti u kojima se smanjenje zaposlenosti dogodilo. U usporedbi s 200</w:t>
      </w:r>
      <w:r w:rsidR="00C94E50" w:rsidRPr="00002406">
        <w:rPr>
          <w:rFonts w:ascii="Corbel" w:hAnsi="Corbel"/>
        </w:rPr>
        <w:t>9</w:t>
      </w:r>
      <w:r w:rsidRPr="00002406">
        <w:rPr>
          <w:rFonts w:ascii="Corbel" w:hAnsi="Corbel"/>
        </w:rPr>
        <w:t xml:space="preserve">. godinom, </w:t>
      </w:r>
      <w:r w:rsidRPr="00002406">
        <w:rPr>
          <w:rFonts w:ascii="Corbel" w:hAnsi="Corbel"/>
          <w:b/>
        </w:rPr>
        <w:t>najsnažnije su pogođene</w:t>
      </w:r>
      <w:r w:rsidR="00C94E50" w:rsidRPr="00002406">
        <w:rPr>
          <w:rFonts w:ascii="Corbel" w:hAnsi="Corbel"/>
          <w:b/>
        </w:rPr>
        <w:t>:</w:t>
      </w:r>
    </w:p>
    <w:p w:rsidR="00C94E50" w:rsidRPr="00002406" w:rsidRDefault="00C94E50" w:rsidP="00002406">
      <w:pPr>
        <w:spacing w:line="240" w:lineRule="auto"/>
        <w:rPr>
          <w:rFonts w:ascii="Corbel" w:hAnsi="Corbel"/>
          <w:b/>
        </w:rPr>
      </w:pPr>
      <w:r w:rsidRPr="00002406">
        <w:rPr>
          <w:rFonts w:ascii="Corbel" w:hAnsi="Corbel"/>
          <w:b/>
        </w:rPr>
        <w:t xml:space="preserve">(I) </w:t>
      </w:r>
      <w:r w:rsidR="00FE61FF" w:rsidRPr="00002406">
        <w:rPr>
          <w:rFonts w:ascii="Corbel" w:hAnsi="Corbel"/>
          <w:b/>
        </w:rPr>
        <w:t>u</w:t>
      </w:r>
      <w:r w:rsidRPr="00002406">
        <w:rPr>
          <w:rFonts w:ascii="Corbel" w:hAnsi="Corbel"/>
          <w:b/>
        </w:rPr>
        <w:t>gostiteljstvo - Djelatnosti pružanja smještaja te pripreme i usluživanja hrane (-21.25%)</w:t>
      </w:r>
      <w:r w:rsidR="00D1278C" w:rsidRPr="00002406">
        <w:rPr>
          <w:rFonts w:ascii="Corbel" w:hAnsi="Corbel"/>
          <w:b/>
        </w:rPr>
        <w:t xml:space="preserve"> </w:t>
      </w:r>
      <w:r w:rsidR="00560EFF">
        <w:rPr>
          <w:rStyle w:val="Referencafusnote"/>
          <w:rFonts w:ascii="Corbel" w:hAnsi="Corbel"/>
          <w:b/>
        </w:rPr>
        <w:footnoteReference w:id="15"/>
      </w:r>
      <w:r w:rsidR="00D1278C" w:rsidRPr="00002406">
        <w:rPr>
          <w:rFonts w:ascii="Corbel" w:hAnsi="Corbel"/>
          <w:b/>
        </w:rPr>
        <w:t xml:space="preserve">, </w:t>
      </w:r>
    </w:p>
    <w:p w:rsidR="00FE61FF" w:rsidRPr="00002406" w:rsidRDefault="00FE61FF" w:rsidP="00002406">
      <w:pPr>
        <w:spacing w:line="240" w:lineRule="auto"/>
        <w:rPr>
          <w:rFonts w:ascii="Corbel" w:hAnsi="Corbel"/>
          <w:b/>
        </w:rPr>
      </w:pPr>
      <w:r w:rsidRPr="00002406">
        <w:rPr>
          <w:rFonts w:ascii="Corbel" w:hAnsi="Corbel"/>
          <w:b/>
        </w:rPr>
        <w:t>(C) p</w:t>
      </w:r>
      <w:r w:rsidR="00D1278C" w:rsidRPr="00002406">
        <w:rPr>
          <w:rFonts w:ascii="Corbel" w:hAnsi="Corbel"/>
          <w:b/>
        </w:rPr>
        <w:t xml:space="preserve">rerađivačka industrija </w:t>
      </w:r>
      <w:r w:rsidRPr="00002406">
        <w:rPr>
          <w:rFonts w:ascii="Corbel" w:hAnsi="Corbel"/>
          <w:b/>
        </w:rPr>
        <w:t>(- 21,15%), te</w:t>
      </w:r>
    </w:p>
    <w:p w:rsidR="00FE61FF" w:rsidRPr="00002406" w:rsidRDefault="00FE61FF" w:rsidP="00002406">
      <w:pPr>
        <w:spacing w:line="240" w:lineRule="auto"/>
        <w:rPr>
          <w:rFonts w:ascii="Corbel" w:hAnsi="Corbel"/>
          <w:b/>
        </w:rPr>
      </w:pPr>
      <w:r w:rsidRPr="00002406">
        <w:rPr>
          <w:rFonts w:ascii="Corbel" w:hAnsi="Corbel"/>
          <w:b/>
        </w:rPr>
        <w:t>(F) građevinarstvo (- 32,21%)</w:t>
      </w:r>
    </w:p>
    <w:p w:rsidR="00D1278C" w:rsidRPr="00002406" w:rsidRDefault="00D1278C" w:rsidP="00002406">
      <w:pPr>
        <w:spacing w:line="240" w:lineRule="auto"/>
        <w:rPr>
          <w:rFonts w:ascii="Corbel" w:hAnsi="Corbel"/>
        </w:rPr>
      </w:pPr>
      <w:r w:rsidRPr="00002406">
        <w:rPr>
          <w:rFonts w:ascii="Corbel" w:hAnsi="Corbel"/>
        </w:rPr>
        <w:t xml:space="preserve">koji zajedno čine oko </w:t>
      </w:r>
      <w:r w:rsidR="00FE61FF" w:rsidRPr="00002406">
        <w:rPr>
          <w:rFonts w:ascii="Corbel" w:hAnsi="Corbel"/>
        </w:rPr>
        <w:t>2</w:t>
      </w:r>
      <w:r w:rsidRPr="00002406">
        <w:rPr>
          <w:rFonts w:ascii="Corbel" w:hAnsi="Corbel"/>
        </w:rPr>
        <w:t xml:space="preserve">0% zaposlenosti u pravnim osobama. Smanjenje broja zaposlenih umjerenije je u trgovini i prijevozu te većini poslovnih usluga, </w:t>
      </w:r>
      <w:r w:rsidRPr="00002406">
        <w:rPr>
          <w:rFonts w:ascii="Corbel" w:hAnsi="Corbel"/>
          <w:b/>
        </w:rPr>
        <w:t xml:space="preserve">a </w:t>
      </w:r>
      <w:proofErr w:type="spellStart"/>
      <w:r w:rsidRPr="00002406">
        <w:rPr>
          <w:rFonts w:ascii="Corbel" w:hAnsi="Corbel"/>
          <w:b/>
        </w:rPr>
        <w:t>nezamjetno</w:t>
      </w:r>
      <w:proofErr w:type="spellEnd"/>
      <w:r w:rsidRPr="00002406">
        <w:rPr>
          <w:rFonts w:ascii="Corbel" w:hAnsi="Corbel"/>
          <w:b/>
        </w:rPr>
        <w:t xml:space="preserve"> u djelatnostima gdje dominira javni sektor</w:t>
      </w:r>
      <w:r w:rsidR="00C94E50" w:rsidRPr="00002406">
        <w:rPr>
          <w:rFonts w:ascii="Corbel" w:hAnsi="Corbel"/>
        </w:rPr>
        <w:t>.</w:t>
      </w:r>
      <w:r w:rsidR="009621BF" w:rsidRPr="00002406">
        <w:rPr>
          <w:rFonts w:ascii="Corbel" w:hAnsi="Corbel"/>
        </w:rPr>
        <w:t xml:space="preserve"> </w:t>
      </w:r>
    </w:p>
    <w:p w:rsidR="00051B90" w:rsidRPr="001D6AD0" w:rsidRDefault="00E452EB" w:rsidP="00002406">
      <w:pPr>
        <w:spacing w:line="240" w:lineRule="auto"/>
        <w:jc w:val="both"/>
        <w:rPr>
          <w:rFonts w:ascii="Corbel" w:hAnsi="Corbel" w:cs="Arial"/>
          <w:b/>
        </w:rPr>
      </w:pPr>
      <w:r w:rsidRPr="00002406">
        <w:rPr>
          <w:rFonts w:ascii="Corbel" w:hAnsi="Corbel" w:cs="Arial"/>
          <w:b/>
        </w:rPr>
        <w:t xml:space="preserve">Dodatno opterećenje za Zadar je brže smanjivanje zaposlenih u </w:t>
      </w:r>
      <w:r w:rsidR="009621BF" w:rsidRPr="00002406">
        <w:rPr>
          <w:rFonts w:ascii="Corbel" w:hAnsi="Corbel" w:cs="Arial"/>
          <w:b/>
        </w:rPr>
        <w:t>najsnažnije pogođenim</w:t>
      </w:r>
      <w:r w:rsidRPr="00002406">
        <w:rPr>
          <w:rFonts w:ascii="Corbel" w:hAnsi="Corbel" w:cs="Arial"/>
          <w:b/>
        </w:rPr>
        <w:t xml:space="preserve"> djelatnostima od </w:t>
      </w:r>
      <w:r w:rsidR="00002406">
        <w:rPr>
          <w:rFonts w:ascii="Corbel" w:hAnsi="Corbel" w:cs="Arial"/>
          <w:b/>
        </w:rPr>
        <w:t xml:space="preserve">smanjenja </w:t>
      </w:r>
      <w:r w:rsidRPr="00002406">
        <w:rPr>
          <w:rFonts w:ascii="Corbel" w:hAnsi="Corbel" w:cs="Arial"/>
          <w:b/>
        </w:rPr>
        <w:t xml:space="preserve">nacionalnog prosjeka. </w:t>
      </w:r>
      <w:r w:rsidR="00C94E50" w:rsidRPr="00002406">
        <w:rPr>
          <w:rFonts w:ascii="Corbel" w:hAnsi="Corbel" w:cs="Arial"/>
        </w:rPr>
        <w:t>Ukupan broj zaposlenih u pravnim osobama smanjen je za 7,23% (2009.-2011.)</w:t>
      </w:r>
      <w:r w:rsidR="003D037A" w:rsidRPr="00002406">
        <w:rPr>
          <w:rFonts w:ascii="Corbel" w:hAnsi="Corbel" w:cs="Arial"/>
        </w:rPr>
        <w:t>, dok je na nacionalnoj razini zaposlenost smanjena za 8,04%.</w:t>
      </w:r>
    </w:p>
    <w:p w:rsidR="003D037A" w:rsidRDefault="003D037A" w:rsidP="003D037A">
      <w:pPr>
        <w:pStyle w:val="Opisslike"/>
        <w:keepNext/>
        <w:jc w:val="both"/>
      </w:pPr>
      <w:bookmarkStart w:id="38" w:name="_Toc351538482"/>
      <w:r>
        <w:t xml:space="preserve">Slika </w:t>
      </w:r>
      <w:fldSimple w:instr=" SEQ Slika \* ARABIC ">
        <w:r w:rsidR="001E7A09">
          <w:rPr>
            <w:noProof/>
          </w:rPr>
          <w:t>19</w:t>
        </w:r>
      </w:fldSimple>
      <w:r>
        <w:t xml:space="preserve">.: </w:t>
      </w:r>
      <w:r w:rsidRPr="003D037A">
        <w:t>Promjena zaposlenosti 200</w:t>
      </w:r>
      <w:r>
        <w:t>9</w:t>
      </w:r>
      <w:r w:rsidRPr="003D037A">
        <w:t>.-20</w:t>
      </w:r>
      <w:r>
        <w:t>11. po djelatnostima za RH i</w:t>
      </w:r>
      <w:r w:rsidRPr="003D037A">
        <w:t xml:space="preserve"> grad Zadar</w:t>
      </w:r>
      <w:r>
        <w:t>, NKD 2007</w:t>
      </w:r>
      <w:bookmarkEnd w:id="38"/>
    </w:p>
    <w:p w:rsidR="003D037A" w:rsidRDefault="003D037A" w:rsidP="003D037A">
      <w:pPr>
        <w:spacing w:after="0"/>
        <w:jc w:val="both"/>
        <w:rPr>
          <w:rFonts w:ascii="Times New Roman" w:hAnsi="Times New Roman" w:cs="Arial"/>
          <w:b/>
        </w:rPr>
      </w:pPr>
      <w:r>
        <w:rPr>
          <w:noProof/>
          <w:lang w:eastAsia="hr-HR"/>
        </w:rPr>
        <w:drawing>
          <wp:inline distT="0" distB="0" distL="0" distR="0" wp14:anchorId="5C262BD7" wp14:editId="5282E60A">
            <wp:extent cx="5762847" cy="3274828"/>
            <wp:effectExtent l="0" t="0" r="9525" b="20955"/>
            <wp:docPr id="11"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D037A" w:rsidRDefault="003D037A" w:rsidP="003D037A">
      <w:pPr>
        <w:spacing w:line="240" w:lineRule="auto"/>
        <w:jc w:val="both"/>
        <w:rPr>
          <w:rFonts w:ascii="Times New Roman" w:hAnsi="Times New Roman" w:cs="Arial"/>
        </w:rPr>
      </w:pPr>
      <w:r>
        <w:rPr>
          <w:rFonts w:ascii="Times New Roman" w:hAnsi="Times New Roman" w:cs="Arial"/>
        </w:rPr>
        <w:t>Izvor: DZS, Statističko izvješće, obrada: ZADRA</w:t>
      </w:r>
    </w:p>
    <w:p w:rsidR="00DE3176" w:rsidRPr="00B37C59" w:rsidRDefault="0041452A" w:rsidP="00B37C59">
      <w:pPr>
        <w:pStyle w:val="Naslov1"/>
        <w:spacing w:after="240"/>
      </w:pPr>
      <w:bookmarkStart w:id="39" w:name="_Toc351539738"/>
      <w:r w:rsidRPr="00B37C59">
        <w:t>5</w:t>
      </w:r>
      <w:r w:rsidR="00511CCB" w:rsidRPr="00B37C59">
        <w:t xml:space="preserve">. </w:t>
      </w:r>
      <w:r w:rsidR="00161CF5" w:rsidRPr="00B37C59">
        <w:t>Robna razmjena s inozemstvom</w:t>
      </w:r>
      <w:bookmarkEnd w:id="39"/>
      <w:r w:rsidR="00161CF5" w:rsidRPr="00B37C59">
        <w:t xml:space="preserve"> </w:t>
      </w:r>
    </w:p>
    <w:p w:rsidR="00C93EA5" w:rsidRPr="000A0B93" w:rsidRDefault="00C93EA5" w:rsidP="00C21220">
      <w:pPr>
        <w:spacing w:after="0" w:line="240" w:lineRule="auto"/>
        <w:jc w:val="both"/>
        <w:rPr>
          <w:rFonts w:ascii="Corbel" w:eastAsia="Times New Roman" w:hAnsi="Corbel" w:cs="Times New Roman"/>
          <w:lang w:eastAsia="hr-HR"/>
        </w:rPr>
      </w:pPr>
      <w:r w:rsidRPr="00926B73">
        <w:rPr>
          <w:rFonts w:ascii="Corbel" w:eastAsia="Times New Roman" w:hAnsi="Corbel" w:cs="Times New Roman"/>
          <w:lang w:eastAsia="hr-HR"/>
        </w:rPr>
        <w:t xml:space="preserve">Zdrave ekonomije izvoze poslove, zadržavaju značajan prihod i stvaraju interne veze unutar ekonomskog sustava. Veličina ekonomije je u suštini određena priljevom vanjskog prihoda, odljevom prihoda i količinom resursa korištenih za proizvodnju proizvoda lokalne ekonomije </w:t>
      </w:r>
      <w:sdt>
        <w:sdtPr>
          <w:rPr>
            <w:rFonts w:ascii="Corbel" w:eastAsia="Times New Roman" w:hAnsi="Corbel" w:cs="Times New Roman"/>
            <w:lang w:eastAsia="hr-HR"/>
          </w:rPr>
          <w:id w:val="1925908"/>
          <w:citation/>
        </w:sdtPr>
        <w:sdtContent>
          <w:r w:rsidR="00A003E4" w:rsidRPr="00926B73">
            <w:rPr>
              <w:rFonts w:ascii="Corbel" w:eastAsia="Times New Roman" w:hAnsi="Corbel" w:cs="Times New Roman"/>
              <w:lang w:eastAsia="hr-HR"/>
            </w:rPr>
            <w:fldChar w:fldCharType="begin"/>
          </w:r>
          <w:r w:rsidR="00A003E4" w:rsidRPr="00926B73">
            <w:rPr>
              <w:rFonts w:ascii="Corbel" w:eastAsia="Times New Roman" w:hAnsi="Corbel" w:cs="Times New Roman"/>
              <w:lang w:eastAsia="hr-HR"/>
            </w:rPr>
            <w:instrText xml:space="preserve"> CITATION Hus93 \l 1050 </w:instrText>
          </w:r>
          <w:r w:rsidR="00A003E4" w:rsidRPr="00926B73">
            <w:rPr>
              <w:rFonts w:ascii="Corbel" w:eastAsia="Times New Roman" w:hAnsi="Corbel" w:cs="Times New Roman"/>
              <w:lang w:eastAsia="hr-HR"/>
            </w:rPr>
            <w:fldChar w:fldCharType="separate"/>
          </w:r>
          <w:r w:rsidR="00A003E4" w:rsidRPr="00926B73">
            <w:rPr>
              <w:rFonts w:ascii="Corbel" w:eastAsia="Times New Roman" w:hAnsi="Corbel" w:cs="Times New Roman"/>
              <w:lang w:eastAsia="hr-HR"/>
            </w:rPr>
            <w:t>(Hustedde, Shaffer, &amp; Pulver, 1993)</w:t>
          </w:r>
          <w:r w:rsidR="00A003E4" w:rsidRPr="00926B73">
            <w:rPr>
              <w:rFonts w:ascii="Corbel" w:eastAsia="Times New Roman" w:hAnsi="Corbel" w:cs="Times New Roman"/>
              <w:lang w:eastAsia="hr-HR"/>
            </w:rPr>
            <w:fldChar w:fldCharType="end"/>
          </w:r>
        </w:sdtContent>
      </w:sdt>
      <w:r w:rsidR="00A003E4" w:rsidRPr="00926B73">
        <w:rPr>
          <w:rFonts w:ascii="Corbel" w:eastAsia="Times New Roman" w:hAnsi="Corbel" w:cs="Times New Roman"/>
          <w:lang w:eastAsia="hr-HR"/>
        </w:rPr>
        <w:t>. Znači da bi ekonomija Zadra, Zadarske županije i RH rasla, ona mora biti temeljena na izvozu.</w:t>
      </w:r>
    </w:p>
    <w:p w:rsidR="00E148C4" w:rsidRPr="000A0B93" w:rsidRDefault="00E148C4" w:rsidP="00161CF5">
      <w:pPr>
        <w:spacing w:after="0" w:line="240" w:lineRule="auto"/>
        <w:rPr>
          <w:rFonts w:ascii="Corbel" w:hAnsi="Corbel"/>
        </w:rPr>
      </w:pPr>
    </w:p>
    <w:p w:rsidR="00BD412E" w:rsidRPr="000A0B93" w:rsidRDefault="00BD412E" w:rsidP="00C21220">
      <w:pPr>
        <w:spacing w:after="0" w:line="240" w:lineRule="auto"/>
        <w:jc w:val="both"/>
        <w:rPr>
          <w:rFonts w:ascii="Corbel" w:eastAsia="Times New Roman" w:hAnsi="Corbel" w:cs="Times New Roman"/>
          <w:lang w:eastAsia="hr-HR"/>
        </w:rPr>
      </w:pPr>
      <w:r w:rsidRPr="000A0B93">
        <w:rPr>
          <w:rFonts w:ascii="Corbel" w:hAnsi="Corbel"/>
        </w:rPr>
        <w:t xml:space="preserve">Poduzeća koja pružaju svoju uslugu/proizvod samo lokalno mogu jedino rasti ako postoji rast u prihodima regije i/ili rast populacije, što sa time donosi dodatno bogatstvo i povećava radnu snagu. S druge strane, neke firme prodaju </w:t>
      </w:r>
      <w:r w:rsidRPr="00926B73">
        <w:rPr>
          <w:rFonts w:ascii="Corbel" w:hAnsi="Corbel"/>
        </w:rPr>
        <w:t>većinu svojih dobara i usluga izvan regije. Te firme se nazivaju izvozno orijentirane firme. Razlika je važna jer poduzeća koja pružaju svoju uslugu samo lokalno ne donose dodatno bogatstvo u regiju. Samo izvozna poduzeća donose novo bogatstvo (King, 2000). Sukladno teoriji ekonomske baze, treba ciljano privlačiti u područje ona poduzeća koja generiraju bogatstvo, sa većim prioritetom od ostalih. Dakle pitanje koje trebaju riješiti lokalni stručnjaci je identificiranje tih poduzeća i njihovo stimuliranje (</w:t>
      </w:r>
      <w:proofErr w:type="spellStart"/>
      <w:r w:rsidRPr="00926B73">
        <w:rPr>
          <w:rFonts w:ascii="Corbel" w:hAnsi="Corbel"/>
        </w:rPr>
        <w:t>Blakely</w:t>
      </w:r>
      <w:proofErr w:type="spellEnd"/>
      <w:r w:rsidRPr="00926B73">
        <w:rPr>
          <w:rFonts w:ascii="Corbel" w:hAnsi="Corbel"/>
        </w:rPr>
        <w:t xml:space="preserve"> &amp; Green Leigh, 2010).</w:t>
      </w:r>
    </w:p>
    <w:p w:rsidR="00BD412E" w:rsidRPr="000A0B93" w:rsidRDefault="00BD412E" w:rsidP="00161CF5">
      <w:pPr>
        <w:spacing w:after="0" w:line="240" w:lineRule="auto"/>
        <w:rPr>
          <w:rFonts w:ascii="Corbel" w:eastAsia="Times New Roman" w:hAnsi="Corbel" w:cs="Times New Roman"/>
          <w:lang w:eastAsia="hr-HR"/>
        </w:rPr>
      </w:pPr>
    </w:p>
    <w:p w:rsidR="00A003E4" w:rsidRPr="000A0B93" w:rsidRDefault="00A003E4" w:rsidP="00C21220">
      <w:pPr>
        <w:spacing w:after="0" w:line="240" w:lineRule="auto"/>
        <w:jc w:val="both"/>
        <w:rPr>
          <w:rFonts w:ascii="Corbel" w:eastAsia="Times New Roman" w:hAnsi="Corbel" w:cs="Times New Roman"/>
          <w:lang w:eastAsia="hr-HR"/>
        </w:rPr>
      </w:pPr>
      <w:r w:rsidRPr="000A0B93">
        <w:rPr>
          <w:rFonts w:ascii="Corbel" w:eastAsia="Times New Roman" w:hAnsi="Corbel" w:cs="Times New Roman"/>
          <w:lang w:eastAsia="hr-HR"/>
        </w:rPr>
        <w:t>U gradu Zadru djeluju tvrtke sa dugom izvoznom tradicijom. Dio tih tvrtki postoji još od prije 90-ih, dok je dobar dio proizvodno prerađivačkih tvrtki nestao ili značajno oslabio u razdoblju tranzicije.</w:t>
      </w:r>
      <w:r w:rsidR="000A0B93">
        <w:rPr>
          <w:rFonts w:ascii="Corbel" w:eastAsia="Times New Roman" w:hAnsi="Corbel" w:cs="Times New Roman"/>
          <w:lang w:eastAsia="hr-HR"/>
        </w:rPr>
        <w:t xml:space="preserve"> </w:t>
      </w:r>
      <w:r w:rsidRPr="000A0B93">
        <w:rPr>
          <w:rFonts w:ascii="Corbel" w:eastAsia="Times New Roman" w:hAnsi="Corbel" w:cs="Times New Roman"/>
          <w:lang w:eastAsia="hr-HR"/>
        </w:rPr>
        <w:t xml:space="preserve">Današnja situacija ukazuje na teško razdoblje s kojima se suočava izvoz grada Zadra i Zadarske županije. </w:t>
      </w:r>
    </w:p>
    <w:p w:rsidR="00A003E4" w:rsidRPr="000A0B93" w:rsidRDefault="00A003E4" w:rsidP="00161CF5">
      <w:pPr>
        <w:spacing w:after="0" w:line="240" w:lineRule="auto"/>
        <w:rPr>
          <w:rFonts w:ascii="Corbel" w:eastAsia="Times New Roman" w:hAnsi="Corbel" w:cs="Times New Roman"/>
          <w:lang w:eastAsia="hr-HR"/>
        </w:rPr>
      </w:pPr>
    </w:p>
    <w:p w:rsidR="001C2FAE" w:rsidRDefault="00A003E4" w:rsidP="00C21220">
      <w:pPr>
        <w:spacing w:line="240" w:lineRule="auto"/>
        <w:jc w:val="both"/>
        <w:rPr>
          <w:rFonts w:ascii="Times New Roman" w:eastAsia="Times New Roman" w:hAnsi="Times New Roman" w:cs="Times New Roman"/>
          <w:sz w:val="32"/>
          <w:szCs w:val="24"/>
          <w:lang w:eastAsia="hr-HR"/>
        </w:rPr>
      </w:pPr>
      <w:r w:rsidRPr="000A0B93">
        <w:rPr>
          <w:rFonts w:ascii="Corbel" w:eastAsia="Times New Roman" w:hAnsi="Corbel" w:cs="Times New Roman"/>
          <w:lang w:eastAsia="hr-HR"/>
        </w:rPr>
        <w:t xml:space="preserve">Analiza podataka DZS-a pokazuje kako izvoz i uvoz kontinuirano rastu </w:t>
      </w:r>
      <w:r w:rsidR="003D6D3D" w:rsidRPr="000A0B93">
        <w:rPr>
          <w:rFonts w:ascii="Corbel" w:eastAsia="Times New Roman" w:hAnsi="Corbel" w:cs="Times New Roman"/>
          <w:lang w:eastAsia="hr-HR"/>
        </w:rPr>
        <w:t xml:space="preserve">u Zadru, Zadarskoj županiji i RH od 2006.-2009., i to je trend koji je nastavljen od </w:t>
      </w:r>
      <w:r w:rsidR="000A0B93">
        <w:rPr>
          <w:rFonts w:ascii="Corbel" w:eastAsia="Times New Roman" w:hAnsi="Corbel" w:cs="Times New Roman"/>
          <w:lang w:eastAsia="hr-HR"/>
        </w:rPr>
        <w:t xml:space="preserve">kraja 90-ih </w:t>
      </w:r>
      <w:r w:rsidR="003D6D3D" w:rsidRPr="000A0B93">
        <w:rPr>
          <w:rFonts w:ascii="Corbel" w:eastAsia="Times New Roman" w:hAnsi="Corbel" w:cs="Times New Roman"/>
          <w:lang w:eastAsia="hr-HR"/>
        </w:rPr>
        <w:t xml:space="preserve">. U 2009. godini dolazi do značajnog pada uvoza i izvoza uzrokovanih gospodarskom krizom i smanjenjem potrošnje. </w:t>
      </w:r>
      <w:r w:rsidR="00CA4BFA" w:rsidRPr="000A0B93">
        <w:rPr>
          <w:rFonts w:ascii="Corbel" w:eastAsia="Times New Roman" w:hAnsi="Corbel" w:cs="Times New Roman"/>
          <w:b/>
          <w:lang w:eastAsia="hr-HR"/>
        </w:rPr>
        <w:t>K</w:t>
      </w:r>
      <w:r w:rsidR="003D6D3D" w:rsidRPr="000A0B93">
        <w:rPr>
          <w:rFonts w:ascii="Corbel" w:eastAsia="Times New Roman" w:hAnsi="Corbel" w:cs="Times New Roman"/>
          <w:b/>
          <w:lang w:eastAsia="hr-HR"/>
        </w:rPr>
        <w:t xml:space="preserve">riza </w:t>
      </w:r>
      <w:r w:rsidR="00CA4BFA" w:rsidRPr="000A0B93">
        <w:rPr>
          <w:rFonts w:ascii="Corbel" w:eastAsia="Times New Roman" w:hAnsi="Corbel" w:cs="Times New Roman"/>
          <w:b/>
          <w:lang w:eastAsia="hr-HR"/>
        </w:rPr>
        <w:t xml:space="preserve">je </w:t>
      </w:r>
      <w:r w:rsidR="003D6D3D" w:rsidRPr="000A0B93">
        <w:rPr>
          <w:rFonts w:ascii="Corbel" w:eastAsia="Times New Roman" w:hAnsi="Corbel" w:cs="Times New Roman"/>
          <w:b/>
          <w:lang w:eastAsia="hr-HR"/>
        </w:rPr>
        <w:t>posebno jako pogodila izvoznike iz grada Zadra</w:t>
      </w:r>
      <w:r w:rsidR="003D6D3D" w:rsidRPr="000A0B93">
        <w:rPr>
          <w:rFonts w:ascii="Corbel" w:eastAsia="Times New Roman" w:hAnsi="Corbel" w:cs="Times New Roman"/>
          <w:lang w:eastAsia="hr-HR"/>
        </w:rPr>
        <w:t xml:space="preserve"> </w:t>
      </w:r>
      <w:r w:rsidR="000A0B93">
        <w:rPr>
          <w:rFonts w:ascii="Corbel" w:eastAsia="Times New Roman" w:hAnsi="Corbel" w:cs="Times New Roman"/>
          <w:lang w:eastAsia="hr-HR"/>
        </w:rPr>
        <w:t>te je kulminirala u 2010. godini kada</w:t>
      </w:r>
      <w:r w:rsidR="003D6D3D" w:rsidRPr="000A0B93">
        <w:rPr>
          <w:rFonts w:ascii="Corbel" w:eastAsia="Times New Roman" w:hAnsi="Corbel" w:cs="Times New Roman"/>
          <w:lang w:eastAsia="hr-HR"/>
        </w:rPr>
        <w:t xml:space="preserve"> izvoz opao za više od 32% </w:t>
      </w:r>
      <w:r w:rsidR="00CA4BFA" w:rsidRPr="000A0B93">
        <w:rPr>
          <w:rFonts w:ascii="Corbel" w:eastAsia="Times New Roman" w:hAnsi="Corbel" w:cs="Times New Roman"/>
          <w:lang w:eastAsia="hr-HR"/>
        </w:rPr>
        <w:t>u</w:t>
      </w:r>
      <w:r w:rsidR="003D6D3D" w:rsidRPr="000A0B93">
        <w:rPr>
          <w:rFonts w:ascii="Corbel" w:eastAsia="Times New Roman" w:hAnsi="Corbel" w:cs="Times New Roman"/>
          <w:lang w:eastAsia="hr-HR"/>
        </w:rPr>
        <w:t xml:space="preserve"> odnosu na 2006. godinu, dok je taj pad na nacionalnoj razini i razini Zadarske županije umjereniji. Zadarski izvoz polagano se oporavlja u sljedećim godinama i u 2011. iznosi 88% vrijednosti izvoza 2006. godine te se još uvijek ne usp</w:t>
      </w:r>
      <w:r w:rsidR="00CA4BFA" w:rsidRPr="000A0B93">
        <w:rPr>
          <w:rFonts w:ascii="Corbel" w:eastAsia="Times New Roman" w:hAnsi="Corbel" w:cs="Times New Roman"/>
          <w:lang w:eastAsia="hr-HR"/>
        </w:rPr>
        <w:t>i</w:t>
      </w:r>
      <w:r w:rsidR="003D6D3D" w:rsidRPr="000A0B93">
        <w:rPr>
          <w:rFonts w:ascii="Corbel" w:eastAsia="Times New Roman" w:hAnsi="Corbel" w:cs="Times New Roman"/>
          <w:lang w:eastAsia="hr-HR"/>
        </w:rPr>
        <w:t>jeva vratiti na razinu iz 2006. godine, dok se izvoz Zadarske županije u potpunosti oporavlja i raste za 19% više od razine</w:t>
      </w:r>
      <w:r w:rsidR="001C2FAE" w:rsidRPr="000A0B93">
        <w:rPr>
          <w:rFonts w:ascii="Corbel" w:eastAsia="Times New Roman" w:hAnsi="Corbel" w:cs="Times New Roman"/>
          <w:lang w:eastAsia="hr-HR"/>
        </w:rPr>
        <w:t xml:space="preserve"> iz 2006. godine. </w:t>
      </w:r>
      <w:r w:rsidR="003D6D3D" w:rsidRPr="000A0B93">
        <w:rPr>
          <w:rFonts w:ascii="Corbel" w:eastAsia="Times New Roman" w:hAnsi="Corbel" w:cs="Times New Roman"/>
          <w:lang w:eastAsia="hr-HR"/>
        </w:rPr>
        <w:t xml:space="preserve">Trend </w:t>
      </w:r>
      <w:r w:rsidR="00CA4BFA" w:rsidRPr="000A0B93">
        <w:rPr>
          <w:rFonts w:ascii="Corbel" w:eastAsia="Times New Roman" w:hAnsi="Corbel" w:cs="Times New Roman"/>
          <w:lang w:eastAsia="hr-HR"/>
        </w:rPr>
        <w:t>uvoza</w:t>
      </w:r>
      <w:r w:rsidR="003D6D3D" w:rsidRPr="000A0B93">
        <w:rPr>
          <w:rFonts w:ascii="Corbel" w:eastAsia="Times New Roman" w:hAnsi="Corbel" w:cs="Times New Roman"/>
          <w:lang w:eastAsia="hr-HR"/>
        </w:rPr>
        <w:t xml:space="preserve"> prati trend </w:t>
      </w:r>
      <w:r w:rsidR="00CA4BFA" w:rsidRPr="000A0B93">
        <w:rPr>
          <w:rFonts w:ascii="Corbel" w:eastAsia="Times New Roman" w:hAnsi="Corbel" w:cs="Times New Roman"/>
          <w:lang w:eastAsia="hr-HR"/>
        </w:rPr>
        <w:t>izvoza, s tim da</w:t>
      </w:r>
      <w:r w:rsidR="000A0B93">
        <w:rPr>
          <w:rFonts w:ascii="Corbel" w:eastAsia="Times New Roman" w:hAnsi="Corbel" w:cs="Times New Roman"/>
          <w:lang w:eastAsia="hr-HR"/>
        </w:rPr>
        <w:t xml:space="preserve"> je</w:t>
      </w:r>
      <w:r w:rsidR="00CA4BFA" w:rsidRPr="000A0B93">
        <w:rPr>
          <w:rFonts w:ascii="Corbel" w:eastAsia="Times New Roman" w:hAnsi="Corbel" w:cs="Times New Roman"/>
          <w:lang w:eastAsia="hr-HR"/>
        </w:rPr>
        <w:t xml:space="preserve"> pad uvoza ipak „dublji“ i sporije se oporavlja na svim</w:t>
      </w:r>
      <w:r w:rsidR="00AE125D" w:rsidRPr="000A0B93">
        <w:rPr>
          <w:rFonts w:ascii="Corbel" w:eastAsia="Times New Roman" w:hAnsi="Corbel" w:cs="Times New Roman"/>
          <w:lang w:eastAsia="hr-HR"/>
        </w:rPr>
        <w:t xml:space="preserve"> promatranim</w:t>
      </w:r>
      <w:r w:rsidR="00CA4BFA" w:rsidRPr="000A0B93">
        <w:rPr>
          <w:rFonts w:ascii="Corbel" w:eastAsia="Times New Roman" w:hAnsi="Corbel" w:cs="Times New Roman"/>
          <w:lang w:eastAsia="hr-HR"/>
        </w:rPr>
        <w:t xml:space="preserve"> razinama.</w:t>
      </w:r>
    </w:p>
    <w:p w:rsidR="001C2FAE" w:rsidRDefault="001C2FAE" w:rsidP="001C2FAE">
      <w:pPr>
        <w:pStyle w:val="Opisslike"/>
        <w:keepNext/>
      </w:pPr>
      <w:bookmarkStart w:id="40" w:name="_Toc351538483"/>
      <w:r>
        <w:t xml:space="preserve">Slika </w:t>
      </w:r>
      <w:fldSimple w:instr=" SEQ Slika \* ARABIC ">
        <w:r w:rsidR="001E7A09">
          <w:rPr>
            <w:noProof/>
          </w:rPr>
          <w:t>20</w:t>
        </w:r>
      </w:fldSimple>
      <w:r>
        <w:t xml:space="preserve">.: Indeks izvoza za grad Zadar, </w:t>
      </w:r>
      <w:proofErr w:type="spellStart"/>
      <w:r>
        <w:t>ZŽ</w:t>
      </w:r>
      <w:proofErr w:type="spellEnd"/>
      <w:r>
        <w:t xml:space="preserve"> i RH, 2006=100</w:t>
      </w:r>
      <w:bookmarkEnd w:id="40"/>
    </w:p>
    <w:p w:rsidR="001C2FAE" w:rsidRDefault="001C2FAE"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6E4789F2" wp14:editId="4983FCD4">
            <wp:extent cx="5295014" cy="2838893"/>
            <wp:effectExtent l="0" t="0" r="20320" b="19050"/>
            <wp:docPr id="21" name="Grafikon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C2FAE" w:rsidRPr="000A0B93" w:rsidRDefault="001C2FAE" w:rsidP="001C2FAE">
      <w:pPr>
        <w:spacing w:after="0" w:line="240" w:lineRule="auto"/>
        <w:rPr>
          <w:rFonts w:ascii="Times New Roman" w:eastAsia="Times New Roman" w:hAnsi="Times New Roman" w:cs="Times New Roman"/>
          <w:sz w:val="20"/>
          <w:szCs w:val="24"/>
          <w:lang w:eastAsia="hr-HR"/>
        </w:rPr>
      </w:pPr>
      <w:r w:rsidRPr="000A0B93">
        <w:rPr>
          <w:rFonts w:ascii="Times New Roman" w:eastAsia="Times New Roman" w:hAnsi="Times New Roman" w:cs="Times New Roman"/>
          <w:sz w:val="20"/>
          <w:szCs w:val="24"/>
          <w:lang w:eastAsia="hr-HR"/>
        </w:rPr>
        <w:t>Izvor: DZS, Priopćenja po godinama, obrada: ZADRA</w:t>
      </w:r>
    </w:p>
    <w:p w:rsidR="001C2FAE" w:rsidRDefault="001C2FAE" w:rsidP="00161CF5">
      <w:pPr>
        <w:spacing w:after="0" w:line="240" w:lineRule="auto"/>
        <w:rPr>
          <w:rFonts w:ascii="Times New Roman" w:eastAsia="Times New Roman" w:hAnsi="Times New Roman" w:cs="Times New Roman"/>
          <w:sz w:val="32"/>
          <w:szCs w:val="24"/>
          <w:lang w:eastAsia="hr-HR"/>
        </w:rPr>
      </w:pPr>
    </w:p>
    <w:p w:rsidR="001C2FAE" w:rsidRDefault="001C2FAE" w:rsidP="001C2FAE">
      <w:pPr>
        <w:pStyle w:val="Opisslike"/>
        <w:keepNext/>
      </w:pPr>
      <w:bookmarkStart w:id="41" w:name="_Toc351538484"/>
      <w:r>
        <w:lastRenderedPageBreak/>
        <w:t xml:space="preserve">Slika </w:t>
      </w:r>
      <w:fldSimple w:instr=" SEQ Slika \* ARABIC ">
        <w:r w:rsidR="001E7A09">
          <w:rPr>
            <w:noProof/>
          </w:rPr>
          <w:t>21</w:t>
        </w:r>
      </w:fldSimple>
      <w:r>
        <w:t xml:space="preserve">.: Indeks uvoza za Zadar, </w:t>
      </w:r>
      <w:proofErr w:type="spellStart"/>
      <w:r>
        <w:t>ZŽ</w:t>
      </w:r>
      <w:proofErr w:type="spellEnd"/>
      <w:r>
        <w:t xml:space="preserve"> i RH, 2006.=100</w:t>
      </w:r>
      <w:bookmarkEnd w:id="41"/>
    </w:p>
    <w:p w:rsidR="001C2FAE" w:rsidRDefault="001C2FAE"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19CAA178" wp14:editId="0DA141BA">
            <wp:extent cx="5220586" cy="2977117"/>
            <wp:effectExtent l="0" t="0" r="18415" b="13970"/>
            <wp:docPr id="22" name="Grafikon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C2FAE" w:rsidRPr="00A60854" w:rsidRDefault="001C2FAE" w:rsidP="001C2FAE">
      <w:pPr>
        <w:spacing w:after="0" w:line="240" w:lineRule="auto"/>
        <w:rPr>
          <w:rFonts w:ascii="Times New Roman" w:eastAsia="Times New Roman" w:hAnsi="Times New Roman" w:cs="Times New Roman"/>
          <w:sz w:val="20"/>
          <w:szCs w:val="24"/>
          <w:lang w:eastAsia="hr-HR"/>
        </w:rPr>
      </w:pPr>
      <w:r w:rsidRPr="00A60854">
        <w:rPr>
          <w:rFonts w:ascii="Times New Roman" w:eastAsia="Times New Roman" w:hAnsi="Times New Roman" w:cs="Times New Roman"/>
          <w:sz w:val="20"/>
          <w:szCs w:val="24"/>
          <w:lang w:eastAsia="hr-HR"/>
        </w:rPr>
        <w:t>Izvor: DZS, Priopćenja po godinama, obrada: ZADRA</w:t>
      </w:r>
    </w:p>
    <w:p w:rsidR="001C2FAE" w:rsidRDefault="001C2FAE" w:rsidP="00161CF5">
      <w:pPr>
        <w:spacing w:after="0" w:line="240" w:lineRule="auto"/>
        <w:rPr>
          <w:rFonts w:ascii="Times New Roman" w:eastAsia="Times New Roman" w:hAnsi="Times New Roman" w:cs="Times New Roman"/>
          <w:sz w:val="32"/>
          <w:szCs w:val="24"/>
          <w:lang w:eastAsia="hr-HR"/>
        </w:rPr>
      </w:pPr>
    </w:p>
    <w:p w:rsidR="001C2FAE" w:rsidRPr="00C21220" w:rsidRDefault="001C2FAE" w:rsidP="00161CF5">
      <w:pPr>
        <w:spacing w:after="0" w:line="240" w:lineRule="auto"/>
        <w:rPr>
          <w:rFonts w:ascii="Corbel" w:eastAsia="Times New Roman" w:hAnsi="Corbel" w:cs="Times New Roman"/>
          <w:szCs w:val="24"/>
          <w:lang w:eastAsia="hr-HR"/>
        </w:rPr>
      </w:pPr>
      <w:r w:rsidRPr="00C21220">
        <w:rPr>
          <w:rFonts w:ascii="Corbel" w:eastAsia="Times New Roman" w:hAnsi="Corbel" w:cs="Times New Roman"/>
          <w:szCs w:val="24"/>
          <w:lang w:eastAsia="hr-HR"/>
        </w:rPr>
        <w:t xml:space="preserve">Pokrivenost uvoza izvozom u Zadru se kreće od 40% do 50%, što je </w:t>
      </w:r>
      <w:r w:rsidR="0040397A" w:rsidRPr="00C21220">
        <w:rPr>
          <w:rFonts w:ascii="Corbel" w:eastAsia="Times New Roman" w:hAnsi="Corbel" w:cs="Times New Roman"/>
          <w:szCs w:val="24"/>
          <w:lang w:eastAsia="hr-HR"/>
        </w:rPr>
        <w:t>nešto niže od prosjeka RH gdje se pokrivenost uvoza izvozom kreće između 50% i 60%.</w:t>
      </w:r>
    </w:p>
    <w:p w:rsidR="001C2FAE" w:rsidRPr="00C21220" w:rsidRDefault="001C2FAE" w:rsidP="00161CF5">
      <w:pPr>
        <w:spacing w:after="0" w:line="240" w:lineRule="auto"/>
        <w:rPr>
          <w:rFonts w:ascii="Corbel" w:eastAsia="Times New Roman" w:hAnsi="Corbel" w:cs="Times New Roman"/>
          <w:szCs w:val="24"/>
          <w:lang w:eastAsia="hr-HR"/>
        </w:rPr>
      </w:pPr>
    </w:p>
    <w:p w:rsidR="001C2FAE" w:rsidRDefault="001C2FAE" w:rsidP="001C2FAE">
      <w:pPr>
        <w:pStyle w:val="Opisslike"/>
        <w:keepNext/>
      </w:pPr>
      <w:bookmarkStart w:id="42" w:name="_Toc351538485"/>
      <w:r>
        <w:t xml:space="preserve">Slika </w:t>
      </w:r>
      <w:fldSimple w:instr=" SEQ Slika \* ARABIC ">
        <w:r w:rsidR="001E7A09">
          <w:rPr>
            <w:noProof/>
          </w:rPr>
          <w:t>22</w:t>
        </w:r>
      </w:fldSimple>
      <w:r>
        <w:t>.: Pokrivenost uvoza izvozo</w:t>
      </w:r>
      <w:r w:rsidR="00C21220">
        <w:t>m</w:t>
      </w:r>
      <w:r>
        <w:t xml:space="preserve"> za grad Zadar 2006.-2011.</w:t>
      </w:r>
      <w:bookmarkEnd w:id="42"/>
    </w:p>
    <w:p w:rsidR="001C2FAE" w:rsidRDefault="001C2FAE"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780FA6D8" wp14:editId="0B80AE9F">
            <wp:extent cx="5220586" cy="3030279"/>
            <wp:effectExtent l="0" t="0" r="18415" b="17780"/>
            <wp:docPr id="23" name="Grafikon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C2FAE" w:rsidRPr="00A60854" w:rsidRDefault="001C2FAE" w:rsidP="001C2FAE">
      <w:pPr>
        <w:spacing w:after="0" w:line="240" w:lineRule="auto"/>
        <w:rPr>
          <w:rFonts w:ascii="Times New Roman" w:eastAsia="Times New Roman" w:hAnsi="Times New Roman" w:cs="Times New Roman"/>
          <w:szCs w:val="24"/>
          <w:lang w:eastAsia="hr-HR"/>
        </w:rPr>
      </w:pPr>
      <w:r w:rsidRPr="00A60854">
        <w:rPr>
          <w:rFonts w:ascii="Times New Roman" w:eastAsia="Times New Roman" w:hAnsi="Times New Roman" w:cs="Times New Roman"/>
          <w:szCs w:val="24"/>
          <w:lang w:eastAsia="hr-HR"/>
        </w:rPr>
        <w:t>Izvor: DZS, Priopćenja po godinama, obrada: ZADRA</w:t>
      </w:r>
    </w:p>
    <w:p w:rsidR="001C2FAE" w:rsidRDefault="001C2FAE" w:rsidP="00161CF5">
      <w:pPr>
        <w:spacing w:after="0" w:line="240" w:lineRule="auto"/>
        <w:rPr>
          <w:rFonts w:ascii="Times New Roman" w:eastAsia="Times New Roman" w:hAnsi="Times New Roman" w:cs="Times New Roman"/>
          <w:sz w:val="32"/>
          <w:szCs w:val="24"/>
          <w:lang w:eastAsia="hr-HR"/>
        </w:rPr>
      </w:pPr>
    </w:p>
    <w:p w:rsidR="001C2FAE" w:rsidRDefault="001C2FAE" w:rsidP="001C2FAE">
      <w:pPr>
        <w:pStyle w:val="Opisslike"/>
        <w:keepNext/>
      </w:pPr>
      <w:bookmarkStart w:id="43" w:name="_Toc351538486"/>
      <w:r>
        <w:lastRenderedPageBreak/>
        <w:t xml:space="preserve">Slika </w:t>
      </w:r>
      <w:fldSimple w:instr=" SEQ Slika \* ARABIC ">
        <w:r w:rsidR="001E7A09">
          <w:rPr>
            <w:noProof/>
          </w:rPr>
          <w:t>23</w:t>
        </w:r>
      </w:fldSimple>
      <w:r>
        <w:t>.: pokrivenost uvoza izvozom za RH, 2006.-2011.</w:t>
      </w:r>
      <w:bookmarkEnd w:id="43"/>
    </w:p>
    <w:p w:rsidR="001C2FAE" w:rsidRDefault="001C2FAE"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01E3984F" wp14:editId="1356C6AD">
            <wp:extent cx="5167424" cy="3189768"/>
            <wp:effectExtent l="0" t="0" r="14605" b="10795"/>
            <wp:docPr id="24" name="Grafikon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C2FAE" w:rsidRPr="00A60854" w:rsidRDefault="001C2FAE" w:rsidP="001C2FAE">
      <w:pPr>
        <w:spacing w:after="0" w:line="240" w:lineRule="auto"/>
        <w:rPr>
          <w:rFonts w:ascii="Times New Roman" w:eastAsia="Times New Roman" w:hAnsi="Times New Roman" w:cs="Times New Roman"/>
          <w:sz w:val="20"/>
          <w:szCs w:val="24"/>
          <w:lang w:eastAsia="hr-HR"/>
        </w:rPr>
      </w:pPr>
      <w:r w:rsidRPr="00A60854">
        <w:rPr>
          <w:rFonts w:ascii="Times New Roman" w:eastAsia="Times New Roman" w:hAnsi="Times New Roman" w:cs="Times New Roman"/>
          <w:sz w:val="20"/>
          <w:szCs w:val="24"/>
          <w:lang w:eastAsia="hr-HR"/>
        </w:rPr>
        <w:t>Izvor: DZS, Priopćenja po godinama, obrada: ZADRA</w:t>
      </w:r>
    </w:p>
    <w:p w:rsidR="001C2FAE" w:rsidRDefault="001C2FAE" w:rsidP="00161CF5">
      <w:pPr>
        <w:spacing w:after="0" w:line="240" w:lineRule="auto"/>
        <w:rPr>
          <w:rFonts w:ascii="Times New Roman" w:eastAsia="Times New Roman" w:hAnsi="Times New Roman" w:cs="Times New Roman"/>
          <w:sz w:val="32"/>
          <w:szCs w:val="24"/>
          <w:lang w:eastAsia="hr-HR"/>
        </w:rPr>
      </w:pPr>
    </w:p>
    <w:p w:rsidR="00A003E4" w:rsidRPr="002B6061" w:rsidRDefault="000A0B93" w:rsidP="00117F55">
      <w:pPr>
        <w:spacing w:after="0" w:line="240" w:lineRule="auto"/>
        <w:jc w:val="both"/>
        <w:rPr>
          <w:rFonts w:ascii="Corbel" w:eastAsia="Times New Roman" w:hAnsi="Corbel" w:cs="Times New Roman"/>
          <w:szCs w:val="24"/>
          <w:lang w:eastAsia="hr-HR"/>
        </w:rPr>
      </w:pPr>
      <w:r w:rsidRPr="002B6061">
        <w:rPr>
          <w:rFonts w:ascii="Corbel" w:eastAsia="Times New Roman" w:hAnsi="Corbel" w:cs="Times New Roman"/>
          <w:szCs w:val="24"/>
          <w:lang w:eastAsia="hr-HR"/>
        </w:rPr>
        <w:t>Usporedni p</w:t>
      </w:r>
      <w:r w:rsidR="00AE125D" w:rsidRPr="002B6061">
        <w:rPr>
          <w:rFonts w:ascii="Corbel" w:eastAsia="Times New Roman" w:hAnsi="Corbel" w:cs="Times New Roman"/>
          <w:szCs w:val="24"/>
          <w:lang w:eastAsia="hr-HR"/>
        </w:rPr>
        <w:t xml:space="preserve">odaci o ukupnom izvozu poduzetnika sa </w:t>
      </w:r>
      <w:r w:rsidR="00320A32" w:rsidRPr="002B6061">
        <w:rPr>
          <w:rFonts w:ascii="Corbel" w:eastAsia="Times New Roman" w:hAnsi="Corbel" w:cs="Times New Roman"/>
          <w:szCs w:val="24"/>
          <w:lang w:eastAsia="hr-HR"/>
        </w:rPr>
        <w:t xml:space="preserve">područja grada pokazuju </w:t>
      </w:r>
      <w:r w:rsidR="00320A32" w:rsidRPr="002B6061">
        <w:rPr>
          <w:rFonts w:ascii="Corbel" w:eastAsia="Times New Roman" w:hAnsi="Corbel" w:cs="Times New Roman"/>
          <w:b/>
          <w:szCs w:val="24"/>
          <w:lang w:eastAsia="hr-HR"/>
        </w:rPr>
        <w:t>slabost</w:t>
      </w:r>
      <w:r w:rsidRPr="002B6061">
        <w:rPr>
          <w:rFonts w:ascii="Corbel" w:eastAsia="Times New Roman" w:hAnsi="Corbel" w:cs="Times New Roman"/>
          <w:b/>
          <w:szCs w:val="24"/>
          <w:lang w:eastAsia="hr-HR"/>
        </w:rPr>
        <w:t>i</w:t>
      </w:r>
      <w:r w:rsidR="00320A32" w:rsidRPr="002B6061">
        <w:rPr>
          <w:rFonts w:ascii="Corbel" w:eastAsia="Times New Roman" w:hAnsi="Corbel" w:cs="Times New Roman"/>
          <w:b/>
          <w:szCs w:val="24"/>
          <w:lang w:eastAsia="hr-HR"/>
        </w:rPr>
        <w:t xml:space="preserve"> Zadra naspram ostalih Jadranskih gradova</w:t>
      </w:r>
      <w:r w:rsidR="00320A32" w:rsidRPr="002B6061">
        <w:rPr>
          <w:rFonts w:ascii="Corbel" w:eastAsia="Times New Roman" w:hAnsi="Corbel" w:cs="Times New Roman"/>
          <w:szCs w:val="24"/>
          <w:lang w:eastAsia="hr-HR"/>
        </w:rPr>
        <w:t xml:space="preserve"> pa čak i naspram Zadarske županije. Tako se iz slike može vidjeti kako je Zadar na začelju prema </w:t>
      </w:r>
      <w:r w:rsidR="006913D3" w:rsidRPr="002B6061">
        <w:rPr>
          <w:rFonts w:ascii="Corbel" w:eastAsia="Times New Roman" w:hAnsi="Corbel" w:cs="Times New Roman"/>
          <w:szCs w:val="24"/>
          <w:lang w:eastAsia="hr-HR"/>
        </w:rPr>
        <w:t>iznosu ukupnog</w:t>
      </w:r>
      <w:r w:rsidR="00320A32" w:rsidRPr="002B6061">
        <w:rPr>
          <w:rFonts w:ascii="Corbel" w:eastAsia="Times New Roman" w:hAnsi="Corbel" w:cs="Times New Roman"/>
          <w:szCs w:val="24"/>
          <w:lang w:eastAsia="hr-HR"/>
        </w:rPr>
        <w:t xml:space="preserve"> izvoza u 2011. godini uz Dubrovnik koji je prioritetno turistički grad bez ozbiljnih izvoznika. </w:t>
      </w:r>
      <w:r w:rsidR="00320A32" w:rsidRPr="002B6061">
        <w:rPr>
          <w:rFonts w:ascii="Corbel" w:eastAsia="Times New Roman" w:hAnsi="Corbel" w:cs="Times New Roman"/>
          <w:b/>
          <w:szCs w:val="24"/>
          <w:lang w:eastAsia="hr-HR"/>
        </w:rPr>
        <w:t>Zadar je od odabranih gradova jedini grad kojemu je izvoz na 15% od izvoza cijele županije</w:t>
      </w:r>
      <w:r w:rsidR="00320A32" w:rsidRPr="002B6061">
        <w:rPr>
          <w:rFonts w:ascii="Corbel" w:eastAsia="Times New Roman" w:hAnsi="Corbel" w:cs="Times New Roman"/>
          <w:szCs w:val="24"/>
          <w:lang w:eastAsia="hr-HR"/>
        </w:rPr>
        <w:t xml:space="preserve"> (Rijeka: 51%, Split: 42%, Pula: 52%). Benkovac ima tek nešto niži izvoz od Zadra dok </w:t>
      </w:r>
      <w:r w:rsidR="008947A9" w:rsidRPr="002B6061">
        <w:rPr>
          <w:rFonts w:ascii="Corbel" w:eastAsia="Times New Roman" w:hAnsi="Corbel" w:cs="Times New Roman"/>
          <w:szCs w:val="24"/>
          <w:lang w:eastAsia="hr-HR"/>
        </w:rPr>
        <w:t xml:space="preserve">primjerice općina </w:t>
      </w:r>
      <w:proofErr w:type="spellStart"/>
      <w:r w:rsidR="008947A9" w:rsidRPr="002B6061">
        <w:rPr>
          <w:rFonts w:ascii="Corbel" w:eastAsia="Times New Roman" w:hAnsi="Corbel" w:cs="Times New Roman"/>
          <w:szCs w:val="24"/>
          <w:lang w:eastAsia="hr-HR"/>
        </w:rPr>
        <w:t>Poličnik</w:t>
      </w:r>
      <w:proofErr w:type="spellEnd"/>
      <w:r w:rsidR="008947A9" w:rsidRPr="002B6061">
        <w:rPr>
          <w:rFonts w:ascii="Corbel" w:eastAsia="Times New Roman" w:hAnsi="Corbel" w:cs="Times New Roman"/>
          <w:szCs w:val="24"/>
          <w:lang w:eastAsia="hr-HR"/>
        </w:rPr>
        <w:t xml:space="preserve"> izvozi</w:t>
      </w:r>
      <w:r w:rsidR="00320A32" w:rsidRPr="002B6061">
        <w:rPr>
          <w:rFonts w:ascii="Corbel" w:eastAsia="Times New Roman" w:hAnsi="Corbel" w:cs="Times New Roman"/>
          <w:szCs w:val="24"/>
          <w:lang w:eastAsia="hr-HR"/>
        </w:rPr>
        <w:t xml:space="preserve"> </w:t>
      </w:r>
      <w:r w:rsidR="008947A9" w:rsidRPr="002B6061">
        <w:rPr>
          <w:rFonts w:ascii="Corbel" w:eastAsia="Times New Roman" w:hAnsi="Corbel" w:cs="Times New Roman"/>
          <w:szCs w:val="24"/>
          <w:lang w:eastAsia="hr-HR"/>
        </w:rPr>
        <w:t xml:space="preserve">i do 3 puta više od Zadra. </w:t>
      </w:r>
      <w:r w:rsidR="00320A32" w:rsidRPr="002B6061">
        <w:rPr>
          <w:rFonts w:ascii="Corbel" w:eastAsia="Times New Roman" w:hAnsi="Corbel" w:cs="Times New Roman"/>
          <w:szCs w:val="24"/>
          <w:lang w:eastAsia="hr-HR"/>
        </w:rPr>
        <w:t xml:space="preserve">To znači da su se izvozne firme iz Zadra uglavnom </w:t>
      </w:r>
      <w:r w:rsidR="00320A32" w:rsidRPr="00926B73">
        <w:rPr>
          <w:rFonts w:ascii="Corbel" w:eastAsia="Times New Roman" w:hAnsi="Corbel" w:cs="Times New Roman"/>
          <w:b/>
          <w:szCs w:val="24"/>
          <w:lang w:eastAsia="hr-HR"/>
        </w:rPr>
        <w:t>rasporedile na ruralnim područjima županije</w:t>
      </w:r>
      <w:r w:rsidR="00320A32" w:rsidRPr="002B6061">
        <w:rPr>
          <w:rFonts w:ascii="Corbel" w:eastAsia="Times New Roman" w:hAnsi="Corbel" w:cs="Times New Roman"/>
          <w:szCs w:val="24"/>
          <w:lang w:eastAsia="hr-HR"/>
        </w:rPr>
        <w:t xml:space="preserve">. Vrlo vjerojatno zbog povoljnijih uvjeta poslovanja, no sigurno je kako </w:t>
      </w:r>
      <w:r w:rsidR="00320A32" w:rsidRPr="002B6061">
        <w:rPr>
          <w:rFonts w:ascii="Corbel" w:eastAsia="Times New Roman" w:hAnsi="Corbel" w:cs="Times New Roman"/>
          <w:b/>
          <w:szCs w:val="24"/>
          <w:lang w:eastAsia="hr-HR"/>
        </w:rPr>
        <w:t>ni grad ni županija nisu ispunili svoje izvozne potencijale s obzirom na veličinu pod</w:t>
      </w:r>
      <w:r w:rsidR="008947A9" w:rsidRPr="002B6061">
        <w:rPr>
          <w:rFonts w:ascii="Corbel" w:eastAsia="Times New Roman" w:hAnsi="Corbel" w:cs="Times New Roman"/>
          <w:b/>
          <w:szCs w:val="24"/>
          <w:lang w:eastAsia="hr-HR"/>
        </w:rPr>
        <w:t>ručja, broj stanovnika i ostale</w:t>
      </w:r>
      <w:r w:rsidR="00320A32" w:rsidRPr="002B6061">
        <w:rPr>
          <w:rFonts w:ascii="Corbel" w:eastAsia="Times New Roman" w:hAnsi="Corbel" w:cs="Times New Roman"/>
          <w:b/>
          <w:szCs w:val="24"/>
          <w:lang w:eastAsia="hr-HR"/>
        </w:rPr>
        <w:t xml:space="preserve"> društveno –</w:t>
      </w:r>
      <w:r w:rsidR="008947A9" w:rsidRPr="002B6061">
        <w:rPr>
          <w:rFonts w:ascii="Corbel" w:eastAsia="Times New Roman" w:hAnsi="Corbel" w:cs="Times New Roman"/>
          <w:b/>
          <w:szCs w:val="24"/>
          <w:lang w:eastAsia="hr-HR"/>
        </w:rPr>
        <w:t xml:space="preserve"> ekonomske</w:t>
      </w:r>
      <w:r w:rsidR="00320A32" w:rsidRPr="002B6061">
        <w:rPr>
          <w:rFonts w:ascii="Corbel" w:eastAsia="Times New Roman" w:hAnsi="Corbel" w:cs="Times New Roman"/>
          <w:b/>
          <w:szCs w:val="24"/>
          <w:lang w:eastAsia="hr-HR"/>
        </w:rPr>
        <w:t xml:space="preserve"> </w:t>
      </w:r>
      <w:r w:rsidR="008947A9" w:rsidRPr="002B6061">
        <w:rPr>
          <w:rFonts w:ascii="Corbel" w:eastAsia="Times New Roman" w:hAnsi="Corbel" w:cs="Times New Roman"/>
          <w:b/>
          <w:szCs w:val="24"/>
          <w:lang w:eastAsia="hr-HR"/>
        </w:rPr>
        <w:t>resurse koje posjeduju</w:t>
      </w:r>
      <w:r w:rsidR="00320A32" w:rsidRPr="002B6061">
        <w:rPr>
          <w:rFonts w:ascii="Corbel" w:eastAsia="Times New Roman" w:hAnsi="Corbel" w:cs="Times New Roman"/>
          <w:szCs w:val="24"/>
          <w:lang w:eastAsia="hr-HR"/>
        </w:rPr>
        <w:t xml:space="preserve">. </w:t>
      </w:r>
    </w:p>
    <w:p w:rsidR="00CA4BFA" w:rsidRDefault="00CA4BFA" w:rsidP="00161CF5">
      <w:pPr>
        <w:spacing w:after="0" w:line="240" w:lineRule="auto"/>
        <w:rPr>
          <w:rFonts w:ascii="Times New Roman" w:eastAsia="Times New Roman" w:hAnsi="Times New Roman" w:cs="Times New Roman"/>
          <w:sz w:val="32"/>
          <w:szCs w:val="24"/>
          <w:lang w:eastAsia="hr-HR"/>
        </w:rPr>
      </w:pPr>
    </w:p>
    <w:p w:rsidR="00AE125D" w:rsidRPr="00B45132" w:rsidRDefault="00AE125D" w:rsidP="00AE125D">
      <w:pPr>
        <w:pStyle w:val="Opisslike"/>
        <w:keepNext/>
        <w:rPr>
          <w:sz w:val="20"/>
        </w:rPr>
      </w:pPr>
      <w:bookmarkStart w:id="44" w:name="_Toc351538487"/>
      <w:r w:rsidRPr="00B45132">
        <w:rPr>
          <w:sz w:val="20"/>
        </w:rPr>
        <w:lastRenderedPageBreak/>
        <w:t xml:space="preserve">Slika </w:t>
      </w:r>
      <w:r w:rsidRPr="00B45132">
        <w:rPr>
          <w:sz w:val="20"/>
        </w:rPr>
        <w:fldChar w:fldCharType="begin"/>
      </w:r>
      <w:r w:rsidRPr="00B45132">
        <w:rPr>
          <w:sz w:val="20"/>
        </w:rPr>
        <w:instrText xml:space="preserve"> SEQ Slika \* ARABIC </w:instrText>
      </w:r>
      <w:r w:rsidRPr="00B45132">
        <w:rPr>
          <w:sz w:val="20"/>
        </w:rPr>
        <w:fldChar w:fldCharType="separate"/>
      </w:r>
      <w:r w:rsidR="001E7A09">
        <w:rPr>
          <w:noProof/>
          <w:sz w:val="20"/>
        </w:rPr>
        <w:t>24</w:t>
      </w:r>
      <w:r w:rsidRPr="00B45132">
        <w:rPr>
          <w:sz w:val="20"/>
        </w:rPr>
        <w:fldChar w:fldCharType="end"/>
      </w:r>
      <w:r w:rsidRPr="00B45132">
        <w:rPr>
          <w:sz w:val="20"/>
        </w:rPr>
        <w:t>.: Izvoz po županijama i gradovima Jadranske RH u 2011. godini</w:t>
      </w:r>
      <w:r w:rsidR="00320A32" w:rsidRPr="00B45132">
        <w:rPr>
          <w:sz w:val="20"/>
        </w:rPr>
        <w:t>, u tis. kn</w:t>
      </w:r>
      <w:bookmarkEnd w:id="44"/>
    </w:p>
    <w:p w:rsidR="00AE125D" w:rsidRDefault="00AE125D"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57460D90" wp14:editId="734AFD04">
            <wp:extent cx="5816010" cy="3083442"/>
            <wp:effectExtent l="0" t="0" r="13335" b="22225"/>
            <wp:docPr id="20" name="Grafikon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E125D" w:rsidRPr="000A0B93" w:rsidRDefault="00AE125D" w:rsidP="00AE125D">
      <w:pPr>
        <w:spacing w:after="0" w:line="240" w:lineRule="auto"/>
        <w:rPr>
          <w:rFonts w:ascii="Times New Roman" w:eastAsia="Times New Roman" w:hAnsi="Times New Roman" w:cs="Times New Roman"/>
          <w:szCs w:val="24"/>
          <w:lang w:eastAsia="hr-HR"/>
        </w:rPr>
      </w:pPr>
      <w:r w:rsidRPr="000A0B93">
        <w:rPr>
          <w:rFonts w:ascii="Times New Roman" w:eastAsia="Times New Roman" w:hAnsi="Times New Roman" w:cs="Times New Roman"/>
          <w:szCs w:val="24"/>
          <w:lang w:eastAsia="hr-HR"/>
        </w:rPr>
        <w:t xml:space="preserve">Izvor: DZS, </w:t>
      </w:r>
      <w:r w:rsidR="001C2FAE" w:rsidRPr="000A0B93">
        <w:rPr>
          <w:rFonts w:ascii="Times New Roman" w:eastAsia="Times New Roman" w:hAnsi="Times New Roman" w:cs="Times New Roman"/>
          <w:szCs w:val="24"/>
          <w:lang w:eastAsia="hr-HR"/>
        </w:rPr>
        <w:t>Priopćenja po godinama</w:t>
      </w:r>
      <w:r w:rsidRPr="000A0B93">
        <w:rPr>
          <w:rFonts w:ascii="Times New Roman" w:eastAsia="Times New Roman" w:hAnsi="Times New Roman" w:cs="Times New Roman"/>
          <w:szCs w:val="24"/>
          <w:lang w:eastAsia="hr-HR"/>
        </w:rPr>
        <w:t>, obrada: ZADRA</w:t>
      </w:r>
    </w:p>
    <w:p w:rsidR="00AE125D" w:rsidRDefault="00AE125D" w:rsidP="00161CF5">
      <w:pPr>
        <w:spacing w:after="0" w:line="240" w:lineRule="auto"/>
        <w:rPr>
          <w:rFonts w:ascii="Times New Roman" w:eastAsia="Times New Roman" w:hAnsi="Times New Roman" w:cs="Times New Roman"/>
          <w:sz w:val="32"/>
          <w:szCs w:val="24"/>
          <w:lang w:eastAsia="hr-HR"/>
        </w:rPr>
      </w:pPr>
    </w:p>
    <w:p w:rsidR="00AE125D" w:rsidRPr="00B37C59" w:rsidRDefault="0041452A" w:rsidP="00B37C59">
      <w:pPr>
        <w:pStyle w:val="Naslov2"/>
        <w:spacing w:after="120"/>
      </w:pPr>
      <w:bookmarkStart w:id="45" w:name="_Toc351539739"/>
      <w:r w:rsidRPr="00B37C59">
        <w:t xml:space="preserve">5.1. </w:t>
      </w:r>
      <w:r w:rsidR="00916B70" w:rsidRPr="00B37C59">
        <w:t>STRUKTURA IZVOZA</w:t>
      </w:r>
      <w:bookmarkEnd w:id="45"/>
    </w:p>
    <w:p w:rsidR="00916B70" w:rsidRPr="002B6061" w:rsidRDefault="00916B70" w:rsidP="00161CF5">
      <w:pPr>
        <w:spacing w:after="0" w:line="240" w:lineRule="auto"/>
        <w:rPr>
          <w:rFonts w:ascii="Corbel" w:eastAsia="Times New Roman" w:hAnsi="Corbel" w:cs="Times New Roman"/>
          <w:i/>
          <w:szCs w:val="24"/>
          <w:lang w:eastAsia="hr-HR"/>
        </w:rPr>
      </w:pPr>
      <w:r w:rsidRPr="002B6061">
        <w:rPr>
          <w:rFonts w:ascii="Corbel" w:eastAsia="Times New Roman" w:hAnsi="Corbel" w:cs="Times New Roman"/>
          <w:i/>
          <w:szCs w:val="24"/>
          <w:lang w:eastAsia="hr-HR"/>
        </w:rPr>
        <w:t>Što pokreće Zadarski izvoz i koje su tvrtke glavni izvoznici grada Zadra ?</w:t>
      </w:r>
    </w:p>
    <w:p w:rsidR="00916B70" w:rsidRPr="002B6061" w:rsidRDefault="00916B70" w:rsidP="00161CF5">
      <w:pPr>
        <w:spacing w:after="0" w:line="240" w:lineRule="auto"/>
        <w:rPr>
          <w:rFonts w:ascii="Corbel" w:eastAsia="Times New Roman" w:hAnsi="Corbel" w:cs="Times New Roman"/>
          <w:sz w:val="32"/>
          <w:szCs w:val="24"/>
          <w:lang w:eastAsia="hr-HR"/>
        </w:rPr>
      </w:pPr>
    </w:p>
    <w:p w:rsidR="00916B70" w:rsidRPr="002B6061" w:rsidRDefault="00303253" w:rsidP="002B6061">
      <w:pPr>
        <w:spacing w:line="240" w:lineRule="auto"/>
        <w:jc w:val="both"/>
        <w:rPr>
          <w:rFonts w:ascii="Corbel" w:eastAsia="Times New Roman" w:hAnsi="Corbel" w:cs="Times New Roman"/>
          <w:szCs w:val="24"/>
          <w:lang w:eastAsia="hr-HR"/>
        </w:rPr>
      </w:pPr>
      <w:r w:rsidRPr="002B6061">
        <w:rPr>
          <w:rFonts w:ascii="Corbel" w:eastAsia="Times New Roman" w:hAnsi="Corbel" w:cs="Times New Roman"/>
          <w:szCs w:val="24"/>
          <w:lang w:eastAsia="hr-HR"/>
        </w:rPr>
        <w:t>Rezultati prethodne analize ukazali su na strukturalne probleme zadarskog izvoza. U nastavku je prikazan pregled 30 najvećih izvoznika sa područja grada Zadra prema podacima FINA-e. Tih 30 firmi ujedno čini većinu zadarskog izvoza.</w:t>
      </w:r>
    </w:p>
    <w:p w:rsidR="00303253" w:rsidRPr="002B6061" w:rsidRDefault="00303253" w:rsidP="002B6061">
      <w:pPr>
        <w:spacing w:line="240" w:lineRule="auto"/>
        <w:jc w:val="both"/>
        <w:rPr>
          <w:rFonts w:ascii="Corbel" w:eastAsia="Times New Roman" w:hAnsi="Corbel" w:cs="Times New Roman"/>
          <w:szCs w:val="24"/>
          <w:lang w:eastAsia="hr-HR"/>
        </w:rPr>
      </w:pPr>
      <w:r w:rsidRPr="002B6061">
        <w:rPr>
          <w:rFonts w:ascii="Corbel" w:eastAsia="Times New Roman" w:hAnsi="Corbel" w:cs="Times New Roman"/>
          <w:szCs w:val="24"/>
          <w:lang w:eastAsia="hr-HR"/>
        </w:rPr>
        <w:t xml:space="preserve">U strukturi djelatnosti </w:t>
      </w:r>
      <w:r w:rsidRPr="002B6061">
        <w:rPr>
          <w:rFonts w:ascii="Corbel" w:eastAsia="Times New Roman" w:hAnsi="Corbel" w:cs="Times New Roman"/>
          <w:b/>
          <w:szCs w:val="24"/>
          <w:lang w:eastAsia="hr-HR"/>
        </w:rPr>
        <w:t>najveći broj izvozni</w:t>
      </w:r>
      <w:r w:rsidR="00E81F74" w:rsidRPr="002B6061">
        <w:rPr>
          <w:rFonts w:ascii="Corbel" w:eastAsia="Times New Roman" w:hAnsi="Corbel" w:cs="Times New Roman"/>
          <w:b/>
          <w:szCs w:val="24"/>
          <w:lang w:eastAsia="hr-HR"/>
        </w:rPr>
        <w:t>h poduzeća sa područja grada su</w:t>
      </w:r>
      <w:r w:rsidRPr="002B6061">
        <w:rPr>
          <w:rFonts w:ascii="Corbel" w:eastAsia="Times New Roman" w:hAnsi="Corbel" w:cs="Times New Roman"/>
          <w:b/>
          <w:szCs w:val="24"/>
          <w:lang w:eastAsia="hr-HR"/>
        </w:rPr>
        <w:t xml:space="preserve"> poduzeća</w:t>
      </w:r>
      <w:r w:rsidR="00E81F74" w:rsidRPr="002B6061">
        <w:rPr>
          <w:rFonts w:ascii="Corbel" w:eastAsia="Times New Roman" w:hAnsi="Corbel" w:cs="Times New Roman"/>
          <w:b/>
          <w:szCs w:val="24"/>
          <w:lang w:eastAsia="hr-HR"/>
        </w:rPr>
        <w:t xml:space="preserve"> iz prerađivačke djelatnosti</w:t>
      </w:r>
      <w:r w:rsidR="00E81F74" w:rsidRPr="002B6061">
        <w:rPr>
          <w:rFonts w:ascii="Corbel" w:eastAsia="Times New Roman" w:hAnsi="Corbel" w:cs="Times New Roman"/>
          <w:szCs w:val="24"/>
          <w:lang w:eastAsia="hr-HR"/>
        </w:rPr>
        <w:t>, zatim slijede poduzeća iz djelatnosti prijevoza i skladištenja te djelatnosti pružanja smještaja.</w:t>
      </w:r>
    </w:p>
    <w:p w:rsidR="00303253" w:rsidRDefault="00303253" w:rsidP="00161CF5">
      <w:pPr>
        <w:spacing w:after="0" w:line="240" w:lineRule="auto"/>
        <w:rPr>
          <w:rFonts w:ascii="Times New Roman" w:eastAsia="Times New Roman" w:hAnsi="Times New Roman" w:cs="Times New Roman"/>
          <w:sz w:val="32"/>
          <w:szCs w:val="24"/>
          <w:lang w:eastAsia="hr-HR"/>
        </w:rPr>
      </w:pPr>
    </w:p>
    <w:p w:rsidR="00AE125D" w:rsidRDefault="00AE125D" w:rsidP="00161CF5">
      <w:pPr>
        <w:spacing w:after="0" w:line="240" w:lineRule="auto"/>
        <w:rPr>
          <w:rFonts w:ascii="Times New Roman" w:eastAsia="Times New Roman" w:hAnsi="Times New Roman" w:cs="Times New Roman"/>
          <w:sz w:val="32"/>
          <w:szCs w:val="24"/>
          <w:lang w:eastAsia="hr-HR"/>
        </w:rPr>
      </w:pPr>
    </w:p>
    <w:p w:rsidR="00AE125D" w:rsidRDefault="00AE125D" w:rsidP="00161CF5">
      <w:pPr>
        <w:spacing w:after="0" w:line="240" w:lineRule="auto"/>
        <w:rPr>
          <w:rFonts w:ascii="Times New Roman" w:eastAsia="Times New Roman" w:hAnsi="Times New Roman" w:cs="Times New Roman"/>
          <w:sz w:val="32"/>
          <w:szCs w:val="24"/>
          <w:lang w:eastAsia="hr-HR"/>
        </w:rPr>
      </w:pPr>
    </w:p>
    <w:p w:rsidR="000F034A" w:rsidRPr="000F034A" w:rsidRDefault="000F034A" w:rsidP="000F034A">
      <w:pPr>
        <w:pStyle w:val="Opisslike"/>
        <w:keepNext/>
        <w:rPr>
          <w:sz w:val="20"/>
        </w:rPr>
      </w:pPr>
      <w:bookmarkStart w:id="46" w:name="_Toc351538488"/>
      <w:r w:rsidRPr="000F034A">
        <w:rPr>
          <w:sz w:val="20"/>
        </w:rPr>
        <w:lastRenderedPageBreak/>
        <w:t xml:space="preserve">Slika </w:t>
      </w:r>
      <w:r w:rsidRPr="000F034A">
        <w:rPr>
          <w:sz w:val="20"/>
        </w:rPr>
        <w:fldChar w:fldCharType="begin"/>
      </w:r>
      <w:r w:rsidRPr="000F034A">
        <w:rPr>
          <w:sz w:val="20"/>
        </w:rPr>
        <w:instrText xml:space="preserve"> SEQ Slika \* ARABIC </w:instrText>
      </w:r>
      <w:r w:rsidRPr="000F034A">
        <w:rPr>
          <w:sz w:val="20"/>
        </w:rPr>
        <w:fldChar w:fldCharType="separate"/>
      </w:r>
      <w:r w:rsidR="001E7A09">
        <w:rPr>
          <w:noProof/>
          <w:sz w:val="20"/>
        </w:rPr>
        <w:t>25</w:t>
      </w:r>
      <w:r w:rsidRPr="000F034A">
        <w:rPr>
          <w:sz w:val="20"/>
        </w:rPr>
        <w:fldChar w:fldCharType="end"/>
      </w:r>
      <w:r w:rsidRPr="000F034A">
        <w:rPr>
          <w:sz w:val="20"/>
        </w:rPr>
        <w:t>.: Struktura top 30 izvoznih poduzeća iz Zadra u 2011.</w:t>
      </w:r>
      <w:bookmarkEnd w:id="46"/>
    </w:p>
    <w:p w:rsidR="00D87F43" w:rsidRDefault="00E81F74"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3B5FE9AB" wp14:editId="73C7C5C7">
            <wp:extent cx="5582093" cy="3551274"/>
            <wp:effectExtent l="0" t="0" r="19050" b="11430"/>
            <wp:docPr id="25" name="Grafikon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87F43" w:rsidRPr="00B45132" w:rsidRDefault="000F034A" w:rsidP="00161CF5">
      <w:pPr>
        <w:spacing w:after="0" w:line="240" w:lineRule="auto"/>
        <w:rPr>
          <w:rFonts w:ascii="Times New Roman" w:eastAsia="Times New Roman" w:hAnsi="Times New Roman" w:cs="Times New Roman"/>
          <w:szCs w:val="24"/>
          <w:lang w:eastAsia="hr-HR"/>
        </w:rPr>
      </w:pPr>
      <w:r w:rsidRPr="00B45132">
        <w:rPr>
          <w:rFonts w:ascii="Times New Roman" w:eastAsia="Times New Roman" w:hAnsi="Times New Roman" w:cs="Times New Roman"/>
          <w:szCs w:val="24"/>
          <w:lang w:eastAsia="hr-HR"/>
        </w:rPr>
        <w:t>Izvor: FINA, obrada: ZADRA</w:t>
      </w:r>
    </w:p>
    <w:p w:rsidR="00D87F43" w:rsidRPr="00046A48" w:rsidRDefault="00D87F43" w:rsidP="00046A48">
      <w:pPr>
        <w:spacing w:line="240" w:lineRule="auto"/>
        <w:rPr>
          <w:rFonts w:ascii="Times New Roman" w:eastAsia="Times New Roman" w:hAnsi="Times New Roman" w:cs="Times New Roman"/>
          <w:szCs w:val="24"/>
          <w:lang w:eastAsia="hr-HR"/>
        </w:rPr>
      </w:pPr>
    </w:p>
    <w:p w:rsidR="00046A48" w:rsidRPr="002B6061" w:rsidRDefault="006C3DD8" w:rsidP="002B6061">
      <w:pPr>
        <w:spacing w:line="240" w:lineRule="auto"/>
        <w:jc w:val="both"/>
        <w:rPr>
          <w:rFonts w:ascii="Corbel" w:eastAsia="Times New Roman" w:hAnsi="Corbel" w:cs="Times New Roman"/>
          <w:szCs w:val="24"/>
          <w:lang w:eastAsia="hr-HR"/>
        </w:rPr>
      </w:pPr>
      <w:r w:rsidRPr="002B6061">
        <w:rPr>
          <w:rFonts w:ascii="Corbel" w:eastAsia="Times New Roman" w:hAnsi="Corbel" w:cs="Times New Roman"/>
          <w:szCs w:val="24"/>
          <w:lang w:eastAsia="hr-HR"/>
        </w:rPr>
        <w:t>Prema broju izvoznih poduzeća najviše je onih pr</w:t>
      </w:r>
      <w:r w:rsidR="00046A48" w:rsidRPr="002B6061">
        <w:rPr>
          <w:rFonts w:ascii="Corbel" w:eastAsia="Times New Roman" w:hAnsi="Corbel" w:cs="Times New Roman"/>
          <w:szCs w:val="24"/>
          <w:lang w:eastAsia="hr-HR"/>
        </w:rPr>
        <w:t xml:space="preserve">erađivačke djelatnosti. </w:t>
      </w:r>
      <w:r w:rsidRPr="002B6061">
        <w:rPr>
          <w:rFonts w:ascii="Corbel" w:eastAsia="Times New Roman" w:hAnsi="Corbel" w:cs="Times New Roman"/>
          <w:szCs w:val="24"/>
          <w:lang w:eastAsia="hr-HR"/>
        </w:rPr>
        <w:t xml:space="preserve"> No</w:t>
      </w:r>
      <w:r w:rsidR="00046A48" w:rsidRPr="002B6061">
        <w:rPr>
          <w:rFonts w:ascii="Corbel" w:eastAsia="Times New Roman" w:hAnsi="Corbel" w:cs="Times New Roman"/>
          <w:szCs w:val="24"/>
          <w:lang w:eastAsia="hr-HR"/>
        </w:rPr>
        <w:t>,</w:t>
      </w:r>
      <w:r w:rsidRPr="002B6061">
        <w:rPr>
          <w:rFonts w:ascii="Corbel" w:eastAsia="Times New Roman" w:hAnsi="Corbel" w:cs="Times New Roman"/>
          <w:szCs w:val="24"/>
          <w:lang w:eastAsia="hr-HR"/>
        </w:rPr>
        <w:t xml:space="preserve"> prema udjelu u iznosu izvoza čak </w:t>
      </w:r>
      <w:r w:rsidRPr="002B6061">
        <w:rPr>
          <w:rFonts w:ascii="Corbel" w:eastAsia="Times New Roman" w:hAnsi="Corbel" w:cs="Times New Roman"/>
          <w:b/>
          <w:szCs w:val="24"/>
          <w:lang w:eastAsia="hr-HR"/>
        </w:rPr>
        <w:t xml:space="preserve">66% ukupnog izvoza grada Zadra čini </w:t>
      </w:r>
      <w:r w:rsidR="00046A48" w:rsidRPr="002B6061">
        <w:rPr>
          <w:rFonts w:ascii="Corbel" w:eastAsia="Times New Roman" w:hAnsi="Corbel" w:cs="Times New Roman"/>
          <w:b/>
          <w:szCs w:val="24"/>
          <w:lang w:eastAsia="hr-HR"/>
        </w:rPr>
        <w:t xml:space="preserve">djelatnost </w:t>
      </w:r>
      <w:r w:rsidRPr="002B6061">
        <w:rPr>
          <w:rFonts w:ascii="Corbel" w:eastAsia="Times New Roman" w:hAnsi="Corbel" w:cs="Times New Roman"/>
          <w:b/>
          <w:szCs w:val="24"/>
          <w:lang w:eastAsia="hr-HR"/>
        </w:rPr>
        <w:t>prijevoz</w:t>
      </w:r>
      <w:r w:rsidR="00046A48" w:rsidRPr="002B6061">
        <w:rPr>
          <w:rFonts w:ascii="Corbel" w:eastAsia="Times New Roman" w:hAnsi="Corbel" w:cs="Times New Roman"/>
          <w:b/>
          <w:szCs w:val="24"/>
          <w:lang w:eastAsia="hr-HR"/>
        </w:rPr>
        <w:t xml:space="preserve">a i skladištenja </w:t>
      </w:r>
      <w:r w:rsidR="00046A48" w:rsidRPr="002B6061">
        <w:rPr>
          <w:rFonts w:ascii="Corbel" w:eastAsia="Times New Roman" w:hAnsi="Corbel" w:cs="Times New Roman"/>
          <w:szCs w:val="24"/>
          <w:lang w:eastAsia="hr-HR"/>
        </w:rPr>
        <w:t>na čelu sa Tankerskom plovidbom d.d.</w:t>
      </w:r>
      <w:r w:rsidRPr="002B6061">
        <w:rPr>
          <w:rFonts w:ascii="Corbel" w:eastAsia="Times New Roman" w:hAnsi="Corbel" w:cs="Times New Roman"/>
          <w:szCs w:val="24"/>
          <w:lang w:eastAsia="hr-HR"/>
        </w:rPr>
        <w:t>.</w:t>
      </w:r>
      <w:r w:rsidR="00046A48" w:rsidRPr="002B6061">
        <w:rPr>
          <w:rFonts w:ascii="Corbel" w:eastAsia="Times New Roman" w:hAnsi="Corbel" w:cs="Times New Roman"/>
          <w:szCs w:val="24"/>
          <w:lang w:eastAsia="hr-HR"/>
        </w:rPr>
        <w:t xml:space="preserve"> Bez te tvrtke djelatnosti sa najvećim udjelom u izvozu </w:t>
      </w:r>
      <w:r w:rsidR="00EE7AAE" w:rsidRPr="002B6061">
        <w:rPr>
          <w:rFonts w:ascii="Corbel" w:eastAsia="Times New Roman" w:hAnsi="Corbel" w:cs="Times New Roman"/>
          <w:szCs w:val="24"/>
          <w:lang w:eastAsia="hr-HR"/>
        </w:rPr>
        <w:t>su</w:t>
      </w:r>
      <w:r w:rsidR="00046A48" w:rsidRPr="002B6061">
        <w:rPr>
          <w:rFonts w:ascii="Corbel" w:eastAsia="Times New Roman" w:hAnsi="Corbel" w:cs="Times New Roman"/>
          <w:szCs w:val="24"/>
          <w:lang w:eastAsia="hr-HR"/>
        </w:rPr>
        <w:t xml:space="preserve"> </w:t>
      </w:r>
      <w:r w:rsidR="00046A48" w:rsidRPr="002B6061">
        <w:rPr>
          <w:rFonts w:ascii="Corbel" w:eastAsia="Times New Roman" w:hAnsi="Corbel" w:cs="Times New Roman"/>
          <w:b/>
          <w:szCs w:val="24"/>
          <w:lang w:eastAsia="hr-HR"/>
        </w:rPr>
        <w:t>prerađivačka djelatn</w:t>
      </w:r>
      <w:r w:rsidR="00EE7AAE" w:rsidRPr="002B6061">
        <w:rPr>
          <w:rFonts w:ascii="Corbel" w:eastAsia="Times New Roman" w:hAnsi="Corbel" w:cs="Times New Roman"/>
          <w:b/>
          <w:szCs w:val="24"/>
          <w:lang w:eastAsia="hr-HR"/>
        </w:rPr>
        <w:t>ost</w:t>
      </w:r>
      <w:r w:rsidR="00046A48" w:rsidRPr="002B6061">
        <w:rPr>
          <w:rFonts w:ascii="Corbel" w:eastAsia="Times New Roman" w:hAnsi="Corbel" w:cs="Times New Roman"/>
          <w:b/>
          <w:szCs w:val="24"/>
          <w:lang w:eastAsia="hr-HR"/>
        </w:rPr>
        <w:t xml:space="preserve"> i djelatnost pružanja smještaja</w:t>
      </w:r>
      <w:r w:rsidR="00046A48" w:rsidRPr="002B6061">
        <w:rPr>
          <w:rFonts w:ascii="Corbel" w:eastAsia="Times New Roman" w:hAnsi="Corbel" w:cs="Times New Roman"/>
          <w:szCs w:val="24"/>
          <w:lang w:eastAsia="hr-HR"/>
        </w:rPr>
        <w:t>.</w:t>
      </w:r>
      <w:r w:rsidR="00C22BE4" w:rsidRPr="002B6061">
        <w:rPr>
          <w:rFonts w:ascii="Corbel" w:eastAsia="Times New Roman" w:hAnsi="Corbel" w:cs="Times New Roman"/>
          <w:szCs w:val="24"/>
          <w:lang w:eastAsia="hr-HR"/>
        </w:rPr>
        <w:t xml:space="preserve"> </w:t>
      </w:r>
      <w:r w:rsidR="00C22BE4" w:rsidRPr="002B6061">
        <w:rPr>
          <w:rFonts w:ascii="Corbel" w:eastAsia="Times New Roman" w:hAnsi="Corbel" w:cs="Times New Roman"/>
          <w:b/>
          <w:szCs w:val="24"/>
          <w:lang w:eastAsia="hr-HR"/>
        </w:rPr>
        <w:t>To potvrđuje posebnu važnost koja se daje Prerađivačkoj industriji, jer upravo prerađivačke tvrtke su one koje izvoze, tj. čine područje na kojem rade „bogatijim“.</w:t>
      </w:r>
    </w:p>
    <w:p w:rsidR="00046A48" w:rsidRPr="002B6061" w:rsidRDefault="00064FA0" w:rsidP="002B6061">
      <w:pPr>
        <w:spacing w:line="240" w:lineRule="auto"/>
        <w:jc w:val="both"/>
        <w:rPr>
          <w:rFonts w:ascii="Corbel" w:eastAsia="Times New Roman" w:hAnsi="Corbel" w:cs="Times New Roman"/>
          <w:b/>
          <w:szCs w:val="24"/>
          <w:lang w:eastAsia="hr-HR"/>
        </w:rPr>
      </w:pPr>
      <w:r w:rsidRPr="002B6061">
        <w:rPr>
          <w:rFonts w:ascii="Corbel" w:eastAsia="Times New Roman" w:hAnsi="Corbel" w:cs="Times New Roman"/>
          <w:b/>
          <w:szCs w:val="24"/>
          <w:lang w:eastAsia="hr-HR"/>
        </w:rPr>
        <w:t>Od ostalih djelatnosti interesantno je da djelatnosti koje su se prethodnom analizom pokazali kao djelatnosti „dobitnici“ također participiraju u izvozu. Prije svega to su stručne djelatnosti i djelatnosti poslovnih usluga</w:t>
      </w:r>
      <w:r w:rsidR="00C22BE4" w:rsidRPr="002B6061">
        <w:rPr>
          <w:rFonts w:ascii="Corbel" w:eastAsia="Times New Roman" w:hAnsi="Corbel" w:cs="Times New Roman"/>
          <w:b/>
          <w:szCs w:val="24"/>
          <w:lang w:eastAsia="hr-HR"/>
        </w:rPr>
        <w:t xml:space="preserve"> </w:t>
      </w:r>
      <w:r w:rsidR="00F27A09" w:rsidRPr="002B6061">
        <w:rPr>
          <w:rFonts w:ascii="Corbel" w:eastAsia="Times New Roman" w:hAnsi="Corbel" w:cs="Times New Roman"/>
          <w:b/>
          <w:szCs w:val="24"/>
          <w:lang w:eastAsia="hr-HR"/>
        </w:rPr>
        <w:t>(</w:t>
      </w:r>
      <w:proofErr w:type="spellStart"/>
      <w:r w:rsidR="00F27A09" w:rsidRPr="002B6061">
        <w:rPr>
          <w:rFonts w:ascii="Corbel" w:eastAsia="Times New Roman" w:hAnsi="Corbel" w:cs="Times New Roman"/>
          <w:b/>
          <w:szCs w:val="24"/>
          <w:lang w:eastAsia="hr-HR"/>
        </w:rPr>
        <w:t>charter</w:t>
      </w:r>
      <w:proofErr w:type="spellEnd"/>
      <w:r w:rsidR="00F27A09" w:rsidRPr="002B6061">
        <w:rPr>
          <w:rFonts w:ascii="Corbel" w:eastAsia="Times New Roman" w:hAnsi="Corbel" w:cs="Times New Roman"/>
          <w:b/>
          <w:szCs w:val="24"/>
          <w:lang w:eastAsia="hr-HR"/>
        </w:rPr>
        <w:t xml:space="preserve"> i putničke agencije)</w:t>
      </w:r>
      <w:r w:rsidRPr="002B6061">
        <w:rPr>
          <w:rFonts w:ascii="Corbel" w:eastAsia="Times New Roman" w:hAnsi="Corbel" w:cs="Times New Roman"/>
          <w:b/>
          <w:szCs w:val="24"/>
          <w:lang w:eastAsia="hr-HR"/>
        </w:rPr>
        <w:t xml:space="preserve"> te</w:t>
      </w:r>
      <w:r w:rsidR="00046A48" w:rsidRPr="002B6061">
        <w:rPr>
          <w:rFonts w:ascii="Corbel" w:eastAsia="Times New Roman" w:hAnsi="Corbel" w:cs="Times New Roman"/>
          <w:b/>
          <w:szCs w:val="24"/>
          <w:lang w:eastAsia="hr-HR"/>
        </w:rPr>
        <w:t xml:space="preserve"> </w:t>
      </w:r>
      <w:r w:rsidRPr="002B6061">
        <w:rPr>
          <w:rFonts w:ascii="Corbel" w:eastAsia="Times New Roman" w:hAnsi="Corbel" w:cs="Times New Roman"/>
          <w:b/>
          <w:szCs w:val="24"/>
          <w:lang w:eastAsia="hr-HR"/>
        </w:rPr>
        <w:t>trgovina</w:t>
      </w:r>
      <w:r w:rsidR="00F27A09" w:rsidRPr="002B6061">
        <w:rPr>
          <w:rFonts w:ascii="Corbel" w:eastAsia="Times New Roman" w:hAnsi="Corbel" w:cs="Times New Roman"/>
          <w:b/>
          <w:szCs w:val="24"/>
          <w:lang w:eastAsia="hr-HR"/>
        </w:rPr>
        <w:t>.</w:t>
      </w:r>
    </w:p>
    <w:p w:rsidR="00F27A09" w:rsidRPr="00D6239A" w:rsidRDefault="00F27A09" w:rsidP="00F27A09">
      <w:pPr>
        <w:pStyle w:val="Opisslike"/>
        <w:keepNext/>
        <w:rPr>
          <w:sz w:val="20"/>
        </w:rPr>
      </w:pPr>
      <w:bookmarkStart w:id="47" w:name="_Toc351538489"/>
      <w:r w:rsidRPr="00D6239A">
        <w:rPr>
          <w:sz w:val="20"/>
        </w:rPr>
        <w:lastRenderedPageBreak/>
        <w:t xml:space="preserve">Slika </w:t>
      </w:r>
      <w:r w:rsidRPr="00D6239A">
        <w:rPr>
          <w:sz w:val="20"/>
        </w:rPr>
        <w:fldChar w:fldCharType="begin"/>
      </w:r>
      <w:r w:rsidRPr="00D6239A">
        <w:rPr>
          <w:sz w:val="20"/>
        </w:rPr>
        <w:instrText xml:space="preserve"> SEQ Slika \* ARABIC </w:instrText>
      </w:r>
      <w:r w:rsidRPr="00D6239A">
        <w:rPr>
          <w:sz w:val="20"/>
        </w:rPr>
        <w:fldChar w:fldCharType="separate"/>
      </w:r>
      <w:r w:rsidR="001E7A09">
        <w:rPr>
          <w:noProof/>
          <w:sz w:val="20"/>
        </w:rPr>
        <w:t>26</w:t>
      </w:r>
      <w:r w:rsidRPr="00D6239A">
        <w:rPr>
          <w:sz w:val="20"/>
        </w:rPr>
        <w:fldChar w:fldCharType="end"/>
      </w:r>
      <w:r w:rsidRPr="00D6239A">
        <w:rPr>
          <w:sz w:val="20"/>
        </w:rPr>
        <w:t>.: Udio iznosa izvoza po sektorima za grad Zadar</w:t>
      </w:r>
      <w:bookmarkEnd w:id="47"/>
    </w:p>
    <w:p w:rsidR="00046A48" w:rsidRDefault="00F27A09" w:rsidP="00161CF5">
      <w:pPr>
        <w:spacing w:after="0" w:line="240" w:lineRule="auto"/>
        <w:rPr>
          <w:rFonts w:ascii="Times New Roman" w:eastAsia="Times New Roman" w:hAnsi="Times New Roman" w:cs="Times New Roman"/>
          <w:sz w:val="32"/>
          <w:szCs w:val="24"/>
          <w:lang w:eastAsia="hr-HR"/>
        </w:rPr>
      </w:pPr>
      <w:r>
        <w:rPr>
          <w:noProof/>
          <w:lang w:eastAsia="hr-HR"/>
        </w:rPr>
        <w:drawing>
          <wp:inline distT="0" distB="0" distL="0" distR="0" wp14:anchorId="4BE74180" wp14:editId="242E055D">
            <wp:extent cx="5760720" cy="3154126"/>
            <wp:effectExtent l="0" t="0" r="11430" b="27305"/>
            <wp:docPr id="26" name="Grafikon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27A09" w:rsidRPr="00B45132" w:rsidRDefault="00F27A09" w:rsidP="00F27A09">
      <w:pPr>
        <w:spacing w:after="0" w:line="240" w:lineRule="auto"/>
        <w:rPr>
          <w:rFonts w:ascii="Times New Roman" w:eastAsia="Times New Roman" w:hAnsi="Times New Roman" w:cs="Times New Roman"/>
          <w:szCs w:val="24"/>
          <w:lang w:eastAsia="hr-HR"/>
        </w:rPr>
      </w:pPr>
      <w:r w:rsidRPr="00B45132">
        <w:rPr>
          <w:rFonts w:ascii="Times New Roman" w:eastAsia="Times New Roman" w:hAnsi="Times New Roman" w:cs="Times New Roman"/>
          <w:szCs w:val="24"/>
          <w:lang w:eastAsia="hr-HR"/>
        </w:rPr>
        <w:t>Izvor: FINA, obrada: ZADRA</w:t>
      </w:r>
    </w:p>
    <w:p w:rsidR="00916B70" w:rsidRDefault="00916B70" w:rsidP="00161CF5">
      <w:pPr>
        <w:spacing w:after="0" w:line="240" w:lineRule="auto"/>
        <w:rPr>
          <w:rFonts w:ascii="Times New Roman" w:eastAsia="Times New Roman" w:hAnsi="Times New Roman" w:cs="Times New Roman"/>
          <w:sz w:val="32"/>
          <w:szCs w:val="24"/>
          <w:lang w:eastAsia="hr-HR"/>
        </w:rPr>
      </w:pPr>
    </w:p>
    <w:p w:rsidR="00C22BE4" w:rsidRDefault="00C22BE4" w:rsidP="00C22BE4">
      <w:pPr>
        <w:pStyle w:val="Opisslike"/>
        <w:keepNext/>
      </w:pPr>
      <w:bookmarkStart w:id="48" w:name="_Toc351538416"/>
      <w:r>
        <w:t xml:space="preserve">Tablica </w:t>
      </w:r>
      <w:fldSimple w:instr=" SEQ Tablica \* ARABIC ">
        <w:r w:rsidR="00280AAE">
          <w:rPr>
            <w:noProof/>
          </w:rPr>
          <w:t>11</w:t>
        </w:r>
      </w:fldSimple>
      <w:r>
        <w:t>.: Top 30 tvrtki po izvoz u 2011. godini za Zadar, poredane po veličini ukupnog izvoza</w:t>
      </w:r>
      <w:bookmarkEnd w:id="48"/>
      <w:r>
        <w:t xml:space="preserve"> </w:t>
      </w:r>
    </w:p>
    <w:tbl>
      <w:tblPr>
        <w:tblW w:w="9229" w:type="dxa"/>
        <w:tblInd w:w="93" w:type="dxa"/>
        <w:tblLook w:val="04A0" w:firstRow="1" w:lastRow="0" w:firstColumn="1" w:lastColumn="0" w:noHBand="0" w:noVBand="1"/>
      </w:tblPr>
      <w:tblGrid>
        <w:gridCol w:w="2850"/>
        <w:gridCol w:w="6379"/>
      </w:tblGrid>
      <w:tr w:rsidR="00C22BE4" w:rsidRPr="00C22BE4" w:rsidTr="00F41B4F">
        <w:trPr>
          <w:trHeight w:val="300"/>
        </w:trPr>
        <w:tc>
          <w:tcPr>
            <w:tcW w:w="2850" w:type="dxa"/>
            <w:tcBorders>
              <w:top w:val="single" w:sz="4" w:space="0" w:color="FFFFFF"/>
              <w:left w:val="single" w:sz="4" w:space="0" w:color="FFFFFF"/>
              <w:bottom w:val="single" w:sz="4" w:space="0" w:color="FFFFFF"/>
              <w:right w:val="single" w:sz="4" w:space="0" w:color="FFFFFF"/>
            </w:tcBorders>
            <w:shd w:val="clear" w:color="000000" w:fill="1F497D"/>
            <w:noWrap/>
            <w:vAlign w:val="center"/>
            <w:hideMark/>
          </w:tcPr>
          <w:p w:rsidR="00C22BE4" w:rsidRPr="00C22BE4" w:rsidRDefault="00C22BE4" w:rsidP="00C22BE4">
            <w:pPr>
              <w:spacing w:after="0" w:line="240" w:lineRule="auto"/>
              <w:jc w:val="center"/>
              <w:rPr>
                <w:rFonts w:ascii="Arial" w:eastAsia="Times New Roman" w:hAnsi="Arial" w:cs="Arial"/>
                <w:b/>
                <w:bCs/>
                <w:color w:val="FFFFFF"/>
                <w:sz w:val="18"/>
                <w:szCs w:val="18"/>
                <w:lang w:eastAsia="hr-HR"/>
              </w:rPr>
            </w:pPr>
            <w:r w:rsidRPr="00C22BE4">
              <w:rPr>
                <w:rFonts w:ascii="Arial" w:eastAsia="Times New Roman" w:hAnsi="Arial" w:cs="Arial"/>
                <w:b/>
                <w:bCs/>
                <w:color w:val="FFFFFF"/>
                <w:sz w:val="18"/>
                <w:szCs w:val="18"/>
                <w:lang w:eastAsia="hr-HR"/>
              </w:rPr>
              <w:t>Naziv poslovnog subjekta</w:t>
            </w:r>
          </w:p>
        </w:tc>
        <w:tc>
          <w:tcPr>
            <w:tcW w:w="6379" w:type="dxa"/>
            <w:tcBorders>
              <w:top w:val="single" w:sz="4" w:space="0" w:color="FFFFFF"/>
              <w:left w:val="nil"/>
              <w:bottom w:val="single" w:sz="4" w:space="0" w:color="FFFFFF"/>
              <w:right w:val="single" w:sz="4" w:space="0" w:color="FFFFFF"/>
            </w:tcBorders>
            <w:shd w:val="clear" w:color="000000" w:fill="1F497D"/>
            <w:noWrap/>
            <w:vAlign w:val="center"/>
            <w:hideMark/>
          </w:tcPr>
          <w:p w:rsidR="00C22BE4" w:rsidRPr="00C22BE4" w:rsidRDefault="00C22BE4" w:rsidP="00C22BE4">
            <w:pPr>
              <w:spacing w:after="0" w:line="240" w:lineRule="auto"/>
              <w:jc w:val="center"/>
              <w:rPr>
                <w:rFonts w:ascii="Arial" w:eastAsia="Times New Roman" w:hAnsi="Arial" w:cs="Arial"/>
                <w:b/>
                <w:bCs/>
                <w:color w:val="FFFFFF"/>
                <w:sz w:val="18"/>
                <w:szCs w:val="18"/>
                <w:lang w:eastAsia="hr-HR"/>
              </w:rPr>
            </w:pPr>
            <w:r w:rsidRPr="00C22BE4">
              <w:rPr>
                <w:rFonts w:ascii="Arial" w:eastAsia="Times New Roman" w:hAnsi="Arial" w:cs="Arial"/>
                <w:b/>
                <w:bCs/>
                <w:color w:val="FFFFFF"/>
                <w:sz w:val="18"/>
                <w:szCs w:val="18"/>
                <w:lang w:eastAsia="hr-HR"/>
              </w:rPr>
              <w:t>Opis šifre djelatnosti</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TANKERSKA PLOVIDBA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Pomorski i obalni prijevoz robe</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PUNTA SKALA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Hoteli i sličan smještaj</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BORIK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Hoteli i sličan smještaj</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SAS</w:t>
            </w:r>
            <w:proofErr w:type="spellEnd"/>
            <w:r w:rsidRPr="00C22BE4">
              <w:rPr>
                <w:rFonts w:ascii="Arial" w:eastAsia="Times New Roman" w:hAnsi="Arial" w:cs="Arial"/>
                <w:color w:val="003366"/>
                <w:sz w:val="18"/>
                <w:szCs w:val="18"/>
                <w:lang w:eastAsia="hr-HR"/>
              </w:rPr>
              <w:t xml:space="preserve"> STROJOGRADNJA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Proizvodnja ostalih alatnih strojeva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CROMARIS</w:t>
            </w:r>
            <w:proofErr w:type="spellEnd"/>
            <w:r w:rsidRPr="00C22BE4">
              <w:rPr>
                <w:rFonts w:ascii="Arial" w:eastAsia="Times New Roman" w:hAnsi="Arial" w:cs="Arial"/>
                <w:color w:val="003366"/>
                <w:sz w:val="18"/>
                <w:szCs w:val="18"/>
                <w:lang w:eastAsia="hr-HR"/>
              </w:rPr>
              <w:t xml:space="preserve">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Morska </w:t>
            </w:r>
            <w:proofErr w:type="spellStart"/>
            <w:r w:rsidRPr="00C22BE4">
              <w:rPr>
                <w:rFonts w:ascii="Arial" w:eastAsia="Times New Roman" w:hAnsi="Arial" w:cs="Arial"/>
                <w:color w:val="003366"/>
                <w:sz w:val="18"/>
                <w:szCs w:val="18"/>
                <w:lang w:eastAsia="hr-HR"/>
              </w:rPr>
              <w:t>akvakultura</w:t>
            </w:r>
            <w:proofErr w:type="spellEnd"/>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MARINA </w:t>
            </w:r>
            <w:proofErr w:type="spellStart"/>
            <w:r w:rsidRPr="00C22BE4">
              <w:rPr>
                <w:rFonts w:ascii="Arial" w:eastAsia="Times New Roman" w:hAnsi="Arial" w:cs="Arial"/>
                <w:color w:val="003366"/>
                <w:sz w:val="18"/>
                <w:szCs w:val="18"/>
                <w:lang w:eastAsia="hr-HR"/>
              </w:rPr>
              <w:t>DALMACIJA</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Ostale zabavne i rekreacijske djelatnosti</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HSTEC</w:t>
            </w:r>
            <w:proofErr w:type="spellEnd"/>
            <w:r w:rsidRPr="00C22BE4">
              <w:rPr>
                <w:rFonts w:ascii="Arial" w:eastAsia="Times New Roman" w:hAnsi="Arial" w:cs="Arial"/>
                <w:color w:val="003366"/>
                <w:sz w:val="18"/>
                <w:szCs w:val="18"/>
                <w:lang w:eastAsia="hr-HR"/>
              </w:rPr>
              <w:t xml:space="preserve">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Proizvodnja elektromotora, generatora i transformatora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ARBACOMMERCE</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Prerada i konzerviranje riba, rakova i školjki </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INTERMOD</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Trgovina na malo namještajem, opremom za rasvjetu i ostalim proizvodima za kućanstvo u specijaliziranim prodavaonicama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ODLAGALIŠTE SIROVINA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Oporaba posebno izdvojenih materijala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MARASKA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Destiliranje, pročišćavanje i miješanje alkoholnih pića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ZRAČNA LUKA ZADAR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Uslužne djelatnosti u vezi sa zračnim prijevozom</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HOTELI ZADAR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Hoteli i sličan smještaj</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TURISTHOTEL</w:t>
            </w:r>
            <w:proofErr w:type="spellEnd"/>
            <w:r w:rsidRPr="00C22BE4">
              <w:rPr>
                <w:rFonts w:ascii="Arial" w:eastAsia="Times New Roman" w:hAnsi="Arial" w:cs="Arial"/>
                <w:color w:val="003366"/>
                <w:sz w:val="18"/>
                <w:szCs w:val="18"/>
                <w:lang w:eastAsia="hr-HR"/>
              </w:rPr>
              <w:t xml:space="preserve"> D.D. ZADAR</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Hoteli i sličan smještaj</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ASTA</w:t>
            </w:r>
            <w:proofErr w:type="spellEnd"/>
            <w:r w:rsidRPr="00C22BE4">
              <w:rPr>
                <w:rFonts w:ascii="Arial" w:eastAsia="Times New Roman" w:hAnsi="Arial" w:cs="Arial"/>
                <w:color w:val="003366"/>
                <w:sz w:val="18"/>
                <w:szCs w:val="18"/>
                <w:lang w:eastAsia="hr-HR"/>
              </w:rPr>
              <w:t xml:space="preserve"> </w:t>
            </w:r>
            <w:proofErr w:type="spellStart"/>
            <w:r w:rsidRPr="00C22BE4">
              <w:rPr>
                <w:rFonts w:ascii="Arial" w:eastAsia="Times New Roman" w:hAnsi="Arial" w:cs="Arial"/>
                <w:color w:val="003366"/>
                <w:sz w:val="18"/>
                <w:szCs w:val="18"/>
                <w:lang w:eastAsia="hr-HR"/>
              </w:rPr>
              <w:t>JAHTING</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Iznajmljivanje i davanje u zakup (</w:t>
            </w:r>
            <w:proofErr w:type="spellStart"/>
            <w:r w:rsidRPr="00C22BE4">
              <w:rPr>
                <w:rFonts w:ascii="Arial" w:eastAsia="Times New Roman" w:hAnsi="Arial" w:cs="Arial"/>
                <w:color w:val="003366"/>
                <w:sz w:val="18"/>
                <w:szCs w:val="18"/>
                <w:lang w:eastAsia="hr-HR"/>
              </w:rPr>
              <w:t>leasing</w:t>
            </w:r>
            <w:proofErr w:type="spellEnd"/>
            <w:r w:rsidRPr="00C22BE4">
              <w:rPr>
                <w:rFonts w:ascii="Arial" w:eastAsia="Times New Roman" w:hAnsi="Arial" w:cs="Arial"/>
                <w:color w:val="003366"/>
                <w:sz w:val="18"/>
                <w:szCs w:val="18"/>
                <w:lang w:eastAsia="hr-HR"/>
              </w:rPr>
              <w:t>) plovnih prijevoznih sredstava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KEPOL</w:t>
            </w:r>
            <w:proofErr w:type="spellEnd"/>
            <w:r w:rsidRPr="00C22BE4">
              <w:rPr>
                <w:rFonts w:ascii="Arial" w:eastAsia="Times New Roman" w:hAnsi="Arial" w:cs="Arial"/>
                <w:color w:val="003366"/>
                <w:sz w:val="18"/>
                <w:szCs w:val="18"/>
                <w:lang w:eastAsia="hr-HR"/>
              </w:rPr>
              <w:t>-TERMINAL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Skladištenje robe</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EZ </w:t>
            </w:r>
            <w:proofErr w:type="spellStart"/>
            <w:r w:rsidRPr="00C22BE4">
              <w:rPr>
                <w:rFonts w:ascii="Arial" w:eastAsia="Times New Roman" w:hAnsi="Arial" w:cs="Arial"/>
                <w:color w:val="003366"/>
                <w:sz w:val="18"/>
                <w:szCs w:val="18"/>
                <w:lang w:eastAsia="hr-HR"/>
              </w:rPr>
              <w:t>ENGINEERING</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Inženjerstvo i s njim povezano tehničko savjetovanje</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TANKERKOMERC</w:t>
            </w:r>
            <w:proofErr w:type="spellEnd"/>
            <w:r w:rsidRPr="00C22BE4">
              <w:rPr>
                <w:rFonts w:ascii="Arial" w:eastAsia="Times New Roman" w:hAnsi="Arial" w:cs="Arial"/>
                <w:color w:val="003366"/>
                <w:sz w:val="18"/>
                <w:szCs w:val="18"/>
                <w:lang w:eastAsia="hr-HR"/>
              </w:rPr>
              <w:t xml:space="preserve"> D.D.</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Nespecijalizirana trgovina na veliko </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ADRIA</w:t>
            </w:r>
            <w:proofErr w:type="spellEnd"/>
            <w:r w:rsidRPr="00C22BE4">
              <w:rPr>
                <w:rFonts w:ascii="Arial" w:eastAsia="Times New Roman" w:hAnsi="Arial" w:cs="Arial"/>
                <w:color w:val="003366"/>
                <w:sz w:val="18"/>
                <w:szCs w:val="18"/>
                <w:lang w:eastAsia="hr-HR"/>
              </w:rPr>
              <w:t xml:space="preserve"> D.D. - ZADAR</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Prerada i konzerviranje riba, rakova i školjki </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JADERATOURS</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Djelatnosti putničkih agencija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MILENKO</w:t>
            </w:r>
            <w:proofErr w:type="spellEnd"/>
            <w:r w:rsidRPr="00C22BE4">
              <w:rPr>
                <w:rFonts w:ascii="Arial" w:eastAsia="Times New Roman" w:hAnsi="Arial" w:cs="Arial"/>
                <w:color w:val="003366"/>
                <w:sz w:val="18"/>
                <w:szCs w:val="18"/>
                <w:lang w:eastAsia="hr-HR"/>
              </w:rPr>
              <w:t xml:space="preserve"> </w:t>
            </w:r>
            <w:proofErr w:type="spellStart"/>
            <w:r w:rsidRPr="00C22BE4">
              <w:rPr>
                <w:rFonts w:ascii="Arial" w:eastAsia="Times New Roman" w:hAnsi="Arial" w:cs="Arial"/>
                <w:color w:val="003366"/>
                <w:sz w:val="18"/>
                <w:szCs w:val="18"/>
                <w:lang w:eastAsia="hr-HR"/>
              </w:rPr>
              <w:t>GULAN</w:t>
            </w:r>
            <w:proofErr w:type="spellEnd"/>
            <w:r w:rsidRPr="00C22BE4">
              <w:rPr>
                <w:rFonts w:ascii="Arial" w:eastAsia="Times New Roman" w:hAnsi="Arial" w:cs="Arial"/>
                <w:color w:val="003366"/>
                <w:sz w:val="18"/>
                <w:szCs w:val="18"/>
                <w:lang w:eastAsia="hr-HR"/>
              </w:rPr>
              <w:t xml:space="preserve"> PRIJEVOZNIČKI OBRT</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Cestovni prijevoz robe</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MARINA BORIK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Ostale zabavne i rekreacijske djelatnosti</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lastRenderedPageBreak/>
              <w:t>TAJER</w:t>
            </w:r>
            <w:proofErr w:type="spellEnd"/>
            <w:r w:rsidRPr="00C22BE4">
              <w:rPr>
                <w:rFonts w:ascii="Arial" w:eastAsia="Times New Roman" w:hAnsi="Arial" w:cs="Arial"/>
                <w:color w:val="003366"/>
                <w:sz w:val="18"/>
                <w:szCs w:val="18"/>
                <w:lang w:eastAsia="hr-HR"/>
              </w:rPr>
              <w:t xml:space="preserve"> D.O.O. ZADAR</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 xml:space="preserve">Prerada i konzerviranje riba, rakova i školjki </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KONTAKT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Inženjerstvo i s njim povezano tehničko savjetovanje</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MULTIPLET</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Proizvodnja užadi, konopaca, upletenoga konca i mreža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DENISS</w:t>
            </w:r>
            <w:proofErr w:type="spellEnd"/>
            <w:r w:rsidRPr="00C22BE4">
              <w:rPr>
                <w:rFonts w:ascii="Arial" w:eastAsia="Times New Roman" w:hAnsi="Arial" w:cs="Arial"/>
                <w:color w:val="003366"/>
                <w:sz w:val="18"/>
                <w:szCs w:val="18"/>
                <w:lang w:eastAsia="hr-HR"/>
              </w:rPr>
              <w:t>-TRANSPORT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Cestovni prijevoz robe</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TORETE</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Iznajmljivanje i davanje u zakup (</w:t>
            </w:r>
            <w:proofErr w:type="spellStart"/>
            <w:r w:rsidRPr="00C22BE4">
              <w:rPr>
                <w:rFonts w:ascii="Arial" w:eastAsia="Times New Roman" w:hAnsi="Arial" w:cs="Arial"/>
                <w:color w:val="003366"/>
                <w:sz w:val="18"/>
                <w:szCs w:val="18"/>
                <w:lang w:eastAsia="hr-HR"/>
              </w:rPr>
              <w:t>leasing</w:t>
            </w:r>
            <w:proofErr w:type="spellEnd"/>
            <w:r w:rsidRPr="00C22BE4">
              <w:rPr>
                <w:rFonts w:ascii="Arial" w:eastAsia="Times New Roman" w:hAnsi="Arial" w:cs="Arial"/>
                <w:color w:val="003366"/>
                <w:sz w:val="18"/>
                <w:szCs w:val="18"/>
                <w:lang w:eastAsia="hr-HR"/>
              </w:rPr>
              <w:t>) plovnih prijevoznih sredstava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MARIS</w:t>
            </w:r>
            <w:proofErr w:type="spellEnd"/>
            <w:r w:rsidRPr="00C22BE4">
              <w:rPr>
                <w:rFonts w:ascii="Arial" w:eastAsia="Times New Roman" w:hAnsi="Arial" w:cs="Arial"/>
                <w:color w:val="003366"/>
                <w:sz w:val="18"/>
                <w:szCs w:val="18"/>
                <w:lang w:eastAsia="hr-HR"/>
              </w:rPr>
              <w:t xml:space="preserve"> ZADAR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Iznajmljivanje i upravljanje vlastitim nekretninama ili nekretninama uzetim u zakup (</w:t>
            </w:r>
            <w:proofErr w:type="spellStart"/>
            <w:r w:rsidRPr="00C22BE4">
              <w:rPr>
                <w:rFonts w:ascii="Arial" w:eastAsia="Times New Roman" w:hAnsi="Arial" w:cs="Arial"/>
                <w:color w:val="003366"/>
                <w:sz w:val="18"/>
                <w:szCs w:val="18"/>
                <w:lang w:eastAsia="hr-HR"/>
              </w:rPr>
              <w:t>leasing</w:t>
            </w:r>
            <w:proofErr w:type="spellEnd"/>
            <w:r w:rsidRPr="00C22BE4">
              <w:rPr>
                <w:rFonts w:ascii="Arial" w:eastAsia="Times New Roman" w:hAnsi="Arial" w:cs="Arial"/>
                <w:color w:val="003366"/>
                <w:sz w:val="18"/>
                <w:szCs w:val="18"/>
                <w:lang w:eastAsia="hr-HR"/>
              </w:rPr>
              <w:t>)</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proofErr w:type="spellStart"/>
            <w:r w:rsidRPr="00C22BE4">
              <w:rPr>
                <w:rFonts w:ascii="Arial" w:eastAsia="Times New Roman" w:hAnsi="Arial" w:cs="Arial"/>
                <w:color w:val="003366"/>
                <w:sz w:val="18"/>
                <w:szCs w:val="18"/>
                <w:lang w:eastAsia="hr-HR"/>
              </w:rPr>
              <w:t>EFFECTUS</w:t>
            </w:r>
            <w:proofErr w:type="spellEnd"/>
            <w:r w:rsidRPr="00C22BE4">
              <w:rPr>
                <w:rFonts w:ascii="Arial" w:eastAsia="Times New Roman" w:hAnsi="Arial" w:cs="Arial"/>
                <w:color w:val="003366"/>
                <w:sz w:val="18"/>
                <w:szCs w:val="18"/>
                <w:lang w:eastAsia="hr-HR"/>
              </w:rPr>
              <w:t xml:space="preserve">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Agencije za poslovanje nekretninama</w:t>
            </w:r>
          </w:p>
        </w:tc>
      </w:tr>
      <w:tr w:rsidR="00C22BE4" w:rsidRPr="00C22BE4" w:rsidTr="00F41B4F">
        <w:trPr>
          <w:trHeight w:val="300"/>
        </w:trPr>
        <w:tc>
          <w:tcPr>
            <w:tcW w:w="2850" w:type="dxa"/>
            <w:tcBorders>
              <w:top w:val="nil"/>
              <w:left w:val="single" w:sz="4" w:space="0" w:color="C0C0C0"/>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MIT INŽENJERING D.O.O.</w:t>
            </w:r>
          </w:p>
        </w:tc>
        <w:tc>
          <w:tcPr>
            <w:tcW w:w="6379" w:type="dxa"/>
            <w:tcBorders>
              <w:top w:val="nil"/>
              <w:left w:val="nil"/>
              <w:bottom w:val="single" w:sz="4" w:space="0" w:color="C0C0C0"/>
              <w:right w:val="single" w:sz="4" w:space="0" w:color="C0C0C0"/>
            </w:tcBorders>
            <w:shd w:val="clear" w:color="auto" w:fill="auto"/>
            <w:noWrap/>
            <w:vAlign w:val="bottom"/>
            <w:hideMark/>
          </w:tcPr>
          <w:p w:rsidR="00C22BE4" w:rsidRPr="00C22BE4" w:rsidRDefault="00C22BE4" w:rsidP="00C22BE4">
            <w:pPr>
              <w:spacing w:after="0" w:line="240" w:lineRule="auto"/>
              <w:rPr>
                <w:rFonts w:ascii="Arial" w:eastAsia="Times New Roman" w:hAnsi="Arial" w:cs="Arial"/>
                <w:color w:val="003366"/>
                <w:sz w:val="18"/>
                <w:szCs w:val="18"/>
                <w:lang w:eastAsia="hr-HR"/>
              </w:rPr>
            </w:pPr>
            <w:r w:rsidRPr="00C22BE4">
              <w:rPr>
                <w:rFonts w:ascii="Arial" w:eastAsia="Times New Roman" w:hAnsi="Arial" w:cs="Arial"/>
                <w:color w:val="003366"/>
                <w:sz w:val="18"/>
                <w:szCs w:val="18"/>
                <w:lang w:eastAsia="hr-HR"/>
              </w:rPr>
              <w:t>Inženjerstvo i s njim povezano tehničko savjetovanje</w:t>
            </w:r>
          </w:p>
        </w:tc>
      </w:tr>
    </w:tbl>
    <w:p w:rsidR="00916B70" w:rsidRPr="00C22BE4" w:rsidRDefault="00C22BE4" w:rsidP="00DD1258">
      <w:pPr>
        <w:spacing w:line="240" w:lineRule="auto"/>
        <w:rPr>
          <w:rFonts w:ascii="Times New Roman" w:eastAsia="Times New Roman" w:hAnsi="Times New Roman" w:cs="Times New Roman"/>
          <w:szCs w:val="24"/>
          <w:lang w:eastAsia="hr-HR"/>
        </w:rPr>
      </w:pPr>
      <w:r w:rsidRPr="00C22BE4">
        <w:rPr>
          <w:rFonts w:ascii="Times New Roman" w:eastAsia="Times New Roman" w:hAnsi="Times New Roman" w:cs="Times New Roman"/>
          <w:szCs w:val="24"/>
          <w:lang w:eastAsia="hr-HR"/>
        </w:rPr>
        <w:t>Izvor: FINA, 2012</w:t>
      </w:r>
    </w:p>
    <w:p w:rsidR="004A2B60" w:rsidRPr="00B37C59" w:rsidRDefault="0041452A" w:rsidP="00B37C59">
      <w:pPr>
        <w:pStyle w:val="Naslov2"/>
        <w:spacing w:after="120"/>
      </w:pPr>
      <w:bookmarkStart w:id="49" w:name="_Toc351539740"/>
      <w:r w:rsidRPr="00B37C59">
        <w:t xml:space="preserve">5.2. </w:t>
      </w:r>
      <w:r w:rsidR="001562E6" w:rsidRPr="00B37C59">
        <w:t>Zaposleni u izvozu (multiplikator zaposlenosti)</w:t>
      </w:r>
      <w:bookmarkEnd w:id="49"/>
    </w:p>
    <w:p w:rsidR="00DD1258" w:rsidRPr="00F57AF5" w:rsidRDefault="00DD1258" w:rsidP="00F57AF5">
      <w:pPr>
        <w:spacing w:line="240" w:lineRule="auto"/>
        <w:jc w:val="both"/>
        <w:rPr>
          <w:rFonts w:ascii="Corbel" w:eastAsia="Times New Roman" w:hAnsi="Corbel" w:cs="Times New Roman"/>
          <w:b/>
          <w:sz w:val="32"/>
          <w:szCs w:val="24"/>
          <w:lang w:eastAsia="hr-HR"/>
        </w:rPr>
      </w:pPr>
      <w:r w:rsidRPr="004C6931">
        <w:rPr>
          <w:rFonts w:ascii="Corbel" w:hAnsi="Corbel"/>
        </w:rPr>
        <w:t>Multiplikator zaposlenosti</w:t>
      </w:r>
      <w:r w:rsidRPr="00F57AF5">
        <w:rPr>
          <w:rFonts w:ascii="Corbel" w:hAnsi="Corbel"/>
        </w:rPr>
        <w:t xml:space="preserve"> je jednostavni izraz odnosa između broja radnika u izvozu i ukupne zaposlenosti lokalnog područja. Pomaže nam utvrditi izvoznu bazu područja</w:t>
      </w:r>
      <w:r w:rsidR="00044195" w:rsidRPr="00F57AF5">
        <w:rPr>
          <w:rFonts w:ascii="Corbel" w:hAnsi="Corbel"/>
        </w:rPr>
        <w:t xml:space="preserve">. U tablici niže prikazan je </w:t>
      </w:r>
      <w:r w:rsidR="004C6931" w:rsidRPr="004C6931">
        <w:rPr>
          <w:rFonts w:ascii="Corbel" w:hAnsi="Corbel"/>
        </w:rPr>
        <w:t xml:space="preserve">broj zaposlenih u izvozu </w:t>
      </w:r>
      <w:r w:rsidR="00044195" w:rsidRPr="004C6931">
        <w:rPr>
          <w:rFonts w:ascii="Corbel" w:hAnsi="Corbel"/>
        </w:rPr>
        <w:t xml:space="preserve">za gradove Jadranske hrvatske </w:t>
      </w:r>
      <w:r w:rsidR="004C6931" w:rsidRPr="004C6931">
        <w:rPr>
          <w:rFonts w:ascii="Corbel" w:hAnsi="Corbel"/>
        </w:rPr>
        <w:t>po godinama</w:t>
      </w:r>
      <w:r w:rsidR="00F31772" w:rsidRPr="004C6931">
        <w:rPr>
          <w:rFonts w:ascii="Corbel" w:hAnsi="Corbel"/>
        </w:rPr>
        <w:t>.</w:t>
      </w:r>
      <w:r w:rsidR="00C36B02" w:rsidRPr="004C6931">
        <w:rPr>
          <w:rFonts w:ascii="Corbel" w:hAnsi="Corbel"/>
        </w:rPr>
        <w:t xml:space="preserve"> Izvozna poduzeća generalno mogu proizvesti više poslova i prihoda za grad</w:t>
      </w:r>
      <w:r w:rsidR="00C36B02" w:rsidRPr="00F57AF5">
        <w:rPr>
          <w:rFonts w:ascii="Corbel" w:hAnsi="Corbel"/>
        </w:rPr>
        <w:t xml:space="preserve"> od ostalih gospodarskih sektora.  </w:t>
      </w:r>
      <w:r w:rsidR="00FB045A" w:rsidRPr="00F57AF5">
        <w:rPr>
          <w:rFonts w:ascii="Corbel" w:hAnsi="Corbel"/>
        </w:rPr>
        <w:t>Osim toga</w:t>
      </w:r>
      <w:r w:rsidR="00F57AF5">
        <w:rPr>
          <w:rFonts w:ascii="Corbel" w:hAnsi="Corbel"/>
        </w:rPr>
        <w:t>,</w:t>
      </w:r>
      <w:r w:rsidR="00FB045A" w:rsidRPr="00F57AF5">
        <w:rPr>
          <w:rFonts w:ascii="Corbel" w:hAnsi="Corbel"/>
        </w:rPr>
        <w:t xml:space="preserve"> </w:t>
      </w:r>
      <w:r w:rsidR="00FB045A" w:rsidRPr="00F57AF5">
        <w:rPr>
          <w:rFonts w:ascii="Corbel" w:hAnsi="Corbel"/>
          <w:b/>
        </w:rPr>
        <w:t xml:space="preserve">takva poduzeća su </w:t>
      </w:r>
      <w:r w:rsidR="00F57AF5" w:rsidRPr="00F57AF5">
        <w:rPr>
          <w:rFonts w:ascii="Corbel" w:hAnsi="Corbel"/>
          <w:b/>
        </w:rPr>
        <w:t xml:space="preserve">vrlo </w:t>
      </w:r>
      <w:r w:rsidR="00FB045A" w:rsidRPr="00F57AF5">
        <w:rPr>
          <w:rFonts w:ascii="Corbel" w:hAnsi="Corbel"/>
          <w:b/>
        </w:rPr>
        <w:t xml:space="preserve">često </w:t>
      </w:r>
      <w:r w:rsidR="004C3098" w:rsidRPr="00F57AF5">
        <w:rPr>
          <w:rFonts w:ascii="Corbel" w:hAnsi="Corbel"/>
          <w:b/>
        </w:rPr>
        <w:t>vidljiv</w:t>
      </w:r>
      <w:r w:rsidR="00FB045A" w:rsidRPr="00F57AF5">
        <w:rPr>
          <w:rFonts w:ascii="Corbel" w:hAnsi="Corbel"/>
          <w:b/>
        </w:rPr>
        <w:t xml:space="preserve"> izvor promjene u zapošljavanju</w:t>
      </w:r>
      <w:r w:rsidR="00836F21">
        <w:rPr>
          <w:rFonts w:ascii="Corbel" w:hAnsi="Corbel"/>
        </w:rPr>
        <w:t xml:space="preserve">. </w:t>
      </w:r>
      <w:r w:rsidR="004C6931">
        <w:rPr>
          <w:rFonts w:ascii="Corbel" w:hAnsi="Corbel"/>
        </w:rPr>
        <w:t>Smatra se kako su upravo izvozna poduzeća „multiplikator“ zaposlenosti nekog područja.</w:t>
      </w:r>
    </w:p>
    <w:p w:rsidR="00F57AF5" w:rsidRPr="00F57AF5" w:rsidRDefault="00F57AF5" w:rsidP="00F57AF5">
      <w:pPr>
        <w:spacing w:after="0" w:line="240" w:lineRule="auto"/>
        <w:jc w:val="both"/>
        <w:rPr>
          <w:rFonts w:ascii="Corbel" w:hAnsi="Corbel"/>
        </w:rPr>
      </w:pPr>
      <w:r w:rsidRPr="00F57AF5">
        <w:rPr>
          <w:rFonts w:ascii="Corbel" w:hAnsi="Corbel"/>
        </w:rPr>
        <w:t>Iz sljedeće tablice možemo vidjeti kako su od svih gradova jedino Zadar i Rijeka rasli prema broju zaposlenih u izvozu u razdoblju recesije, iako je u razdoblju od 2001.-2008. broj zaposlenih u izvozu opao u oba grada. Teško je temeljem samo ovih podataka zaključiti zašto je tome tako, no očito je da se konkurentnost izvoznog sektora Zadra i Rijeke povećala u razdoblje recesije, što potvrđuju i prethodno analizirani podaci o rastu izvoza u tim godinama (nakon pada iz 2008.).</w:t>
      </w:r>
    </w:p>
    <w:p w:rsidR="00F41B4F" w:rsidRPr="00F57AF5" w:rsidRDefault="00F41B4F" w:rsidP="00F41B4F">
      <w:pPr>
        <w:pStyle w:val="Default"/>
        <w:rPr>
          <w:rFonts w:ascii="Corbel" w:hAnsi="Corbel" w:cstheme="minorBidi"/>
          <w:color w:val="auto"/>
          <w:sz w:val="22"/>
          <w:szCs w:val="22"/>
        </w:rPr>
      </w:pPr>
    </w:p>
    <w:p w:rsidR="00F83758" w:rsidRDefault="00F83758" w:rsidP="00F83758">
      <w:pPr>
        <w:pStyle w:val="Opisslike"/>
        <w:keepNext/>
      </w:pPr>
      <w:bookmarkStart w:id="50" w:name="_Toc351538417"/>
      <w:r>
        <w:t xml:space="preserve">Tablica </w:t>
      </w:r>
      <w:fldSimple w:instr=" SEQ Tablica \* ARABIC ">
        <w:r w:rsidR="00280AAE">
          <w:rPr>
            <w:noProof/>
          </w:rPr>
          <w:t>12</w:t>
        </w:r>
      </w:fldSimple>
      <w:r>
        <w:t>.: Broj izvoznika i broj zaposlenih po gradovima u 2001.,2008.,2011.</w:t>
      </w:r>
      <w:bookmarkEnd w:id="50"/>
    </w:p>
    <w:tbl>
      <w:tblPr>
        <w:tblW w:w="9160" w:type="dxa"/>
        <w:tblInd w:w="93" w:type="dxa"/>
        <w:tblLook w:val="04A0" w:firstRow="1" w:lastRow="0" w:firstColumn="1" w:lastColumn="0" w:noHBand="0" w:noVBand="1"/>
      </w:tblPr>
      <w:tblGrid>
        <w:gridCol w:w="1460"/>
        <w:gridCol w:w="1220"/>
        <w:gridCol w:w="1360"/>
        <w:gridCol w:w="1219"/>
        <w:gridCol w:w="1261"/>
        <w:gridCol w:w="1300"/>
        <w:gridCol w:w="1340"/>
      </w:tblGrid>
      <w:tr w:rsidR="00F31772" w:rsidRPr="00F31772" w:rsidTr="00F31772">
        <w:trPr>
          <w:trHeight w:val="300"/>
        </w:trPr>
        <w:tc>
          <w:tcPr>
            <w:tcW w:w="1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rPr>
                <w:rFonts w:ascii="Calibri" w:eastAsia="Times New Roman" w:hAnsi="Calibri" w:cs="Times New Roman"/>
                <w:lang w:eastAsia="hr-HR"/>
              </w:rPr>
            </w:pPr>
            <w:r w:rsidRPr="00F31772">
              <w:rPr>
                <w:rFonts w:ascii="Calibri" w:eastAsia="Times New Roman" w:hAnsi="Calibri" w:cs="Times New Roman"/>
                <w:lang w:eastAsia="hr-HR"/>
              </w:rPr>
              <w:t> </w:t>
            </w:r>
          </w:p>
        </w:tc>
        <w:tc>
          <w:tcPr>
            <w:tcW w:w="2580" w:type="dxa"/>
            <w:gridSpan w:val="2"/>
            <w:tcBorders>
              <w:top w:val="single" w:sz="4" w:space="0" w:color="auto"/>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center"/>
              <w:rPr>
                <w:rFonts w:ascii="Calibri" w:eastAsia="Times New Roman" w:hAnsi="Calibri" w:cs="Times New Roman"/>
                <w:lang w:eastAsia="hr-HR"/>
              </w:rPr>
            </w:pPr>
            <w:r w:rsidRPr="00F31772">
              <w:rPr>
                <w:rFonts w:ascii="Calibri" w:eastAsia="Times New Roman" w:hAnsi="Calibri" w:cs="Times New Roman"/>
                <w:lang w:eastAsia="hr-HR"/>
              </w:rPr>
              <w:t>2001.</w:t>
            </w:r>
          </w:p>
        </w:tc>
        <w:tc>
          <w:tcPr>
            <w:tcW w:w="2480" w:type="dxa"/>
            <w:gridSpan w:val="2"/>
            <w:tcBorders>
              <w:top w:val="single" w:sz="4" w:space="0" w:color="auto"/>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center"/>
              <w:rPr>
                <w:rFonts w:ascii="Arial" w:eastAsia="Times New Roman" w:hAnsi="Arial" w:cs="Arial"/>
                <w:sz w:val="18"/>
                <w:szCs w:val="18"/>
                <w:lang w:eastAsia="hr-HR"/>
              </w:rPr>
            </w:pPr>
            <w:r w:rsidRPr="00F31772">
              <w:rPr>
                <w:rFonts w:ascii="Arial" w:eastAsia="Times New Roman" w:hAnsi="Arial" w:cs="Arial"/>
                <w:sz w:val="18"/>
                <w:szCs w:val="18"/>
                <w:lang w:eastAsia="hr-HR"/>
              </w:rPr>
              <w:t>2008.</w:t>
            </w:r>
          </w:p>
        </w:tc>
        <w:tc>
          <w:tcPr>
            <w:tcW w:w="2640" w:type="dxa"/>
            <w:gridSpan w:val="2"/>
            <w:tcBorders>
              <w:top w:val="single" w:sz="4" w:space="0" w:color="auto"/>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center"/>
              <w:rPr>
                <w:rFonts w:ascii="Calibri" w:eastAsia="Times New Roman" w:hAnsi="Calibri" w:cs="Times New Roman"/>
                <w:lang w:eastAsia="hr-HR"/>
              </w:rPr>
            </w:pPr>
            <w:r w:rsidRPr="00F31772">
              <w:rPr>
                <w:rFonts w:ascii="Calibri" w:eastAsia="Times New Roman" w:hAnsi="Calibri" w:cs="Times New Roman"/>
                <w:lang w:eastAsia="hr-HR"/>
              </w:rPr>
              <w:t>2011.</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Naziv općine</w:t>
            </w:r>
          </w:p>
        </w:tc>
        <w:tc>
          <w:tcPr>
            <w:tcW w:w="1220" w:type="dxa"/>
            <w:tcBorders>
              <w:top w:val="nil"/>
              <w:left w:val="nil"/>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Br. izvoznika</w:t>
            </w:r>
          </w:p>
        </w:tc>
        <w:tc>
          <w:tcPr>
            <w:tcW w:w="1360" w:type="dxa"/>
            <w:tcBorders>
              <w:top w:val="nil"/>
              <w:left w:val="nil"/>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Br. zaposlenih</w:t>
            </w:r>
          </w:p>
        </w:tc>
        <w:tc>
          <w:tcPr>
            <w:tcW w:w="1219" w:type="dxa"/>
            <w:tcBorders>
              <w:top w:val="nil"/>
              <w:left w:val="nil"/>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Br. izvoznika</w:t>
            </w:r>
          </w:p>
        </w:tc>
        <w:tc>
          <w:tcPr>
            <w:tcW w:w="1261" w:type="dxa"/>
            <w:tcBorders>
              <w:top w:val="nil"/>
              <w:left w:val="nil"/>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Br. zaposlenih</w:t>
            </w:r>
          </w:p>
        </w:tc>
        <w:tc>
          <w:tcPr>
            <w:tcW w:w="1300" w:type="dxa"/>
            <w:tcBorders>
              <w:top w:val="nil"/>
              <w:left w:val="nil"/>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Br. izvoznika</w:t>
            </w:r>
          </w:p>
        </w:tc>
        <w:tc>
          <w:tcPr>
            <w:tcW w:w="1340" w:type="dxa"/>
            <w:tcBorders>
              <w:top w:val="nil"/>
              <w:left w:val="nil"/>
              <w:bottom w:val="single" w:sz="4" w:space="0" w:color="auto"/>
              <w:right w:val="single" w:sz="4" w:space="0" w:color="auto"/>
            </w:tcBorders>
            <w:shd w:val="clear" w:color="000000" w:fill="1F497D"/>
            <w:noWrap/>
            <w:vAlign w:val="bottom"/>
            <w:hideMark/>
          </w:tcPr>
          <w:p w:rsidR="00F31772" w:rsidRPr="00F31772" w:rsidRDefault="00F31772" w:rsidP="00F31772">
            <w:pPr>
              <w:spacing w:after="0" w:line="240" w:lineRule="auto"/>
              <w:jc w:val="center"/>
              <w:rPr>
                <w:rFonts w:ascii="Arial" w:eastAsia="Times New Roman" w:hAnsi="Arial" w:cs="Arial"/>
                <w:b/>
                <w:bCs/>
                <w:color w:val="FFFFFF"/>
                <w:sz w:val="18"/>
                <w:szCs w:val="18"/>
                <w:lang w:eastAsia="hr-HR"/>
              </w:rPr>
            </w:pPr>
            <w:r w:rsidRPr="00F31772">
              <w:rPr>
                <w:rFonts w:ascii="Arial" w:eastAsia="Times New Roman" w:hAnsi="Arial" w:cs="Arial"/>
                <w:b/>
                <w:bCs/>
                <w:color w:val="FFFFFF"/>
                <w:sz w:val="18"/>
                <w:szCs w:val="18"/>
                <w:lang w:eastAsia="hr-HR"/>
              </w:rPr>
              <w:t>Br. zaposlenih</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rPr>
                <w:rFonts w:ascii="Arial" w:eastAsia="Times New Roman" w:hAnsi="Arial" w:cs="Arial"/>
                <w:color w:val="1F497D"/>
                <w:sz w:val="18"/>
                <w:szCs w:val="18"/>
                <w:lang w:eastAsia="hr-HR"/>
              </w:rPr>
            </w:pPr>
            <w:proofErr w:type="spellStart"/>
            <w:r w:rsidRPr="00F31772">
              <w:rPr>
                <w:rFonts w:ascii="Arial" w:eastAsia="Times New Roman" w:hAnsi="Arial" w:cs="Arial"/>
                <w:color w:val="1F497D"/>
                <w:sz w:val="18"/>
                <w:szCs w:val="18"/>
                <w:lang w:eastAsia="hr-HR"/>
              </w:rPr>
              <w:t>DUBROVNIK</w:t>
            </w:r>
            <w:proofErr w:type="spellEnd"/>
          </w:p>
        </w:tc>
        <w:tc>
          <w:tcPr>
            <w:tcW w:w="122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89</w:t>
            </w:r>
          </w:p>
        </w:tc>
        <w:tc>
          <w:tcPr>
            <w:tcW w:w="136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2.732</w:t>
            </w:r>
          </w:p>
        </w:tc>
        <w:tc>
          <w:tcPr>
            <w:tcW w:w="1219"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99</w:t>
            </w:r>
          </w:p>
        </w:tc>
        <w:tc>
          <w:tcPr>
            <w:tcW w:w="1261"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3.616</w:t>
            </w:r>
          </w:p>
        </w:tc>
        <w:tc>
          <w:tcPr>
            <w:tcW w:w="130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100</w:t>
            </w:r>
          </w:p>
        </w:tc>
        <w:tc>
          <w:tcPr>
            <w:tcW w:w="134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2.792</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PULA</w:t>
            </w:r>
          </w:p>
        </w:tc>
        <w:tc>
          <w:tcPr>
            <w:tcW w:w="122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189</w:t>
            </w:r>
          </w:p>
        </w:tc>
        <w:tc>
          <w:tcPr>
            <w:tcW w:w="136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6.643</w:t>
            </w:r>
          </w:p>
        </w:tc>
        <w:tc>
          <w:tcPr>
            <w:tcW w:w="1219"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205</w:t>
            </w:r>
          </w:p>
        </w:tc>
        <w:tc>
          <w:tcPr>
            <w:tcW w:w="1261"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5.264</w:t>
            </w:r>
          </w:p>
        </w:tc>
        <w:tc>
          <w:tcPr>
            <w:tcW w:w="130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229</w:t>
            </w:r>
          </w:p>
        </w:tc>
        <w:tc>
          <w:tcPr>
            <w:tcW w:w="134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5.035</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RIJEKA</w:t>
            </w:r>
          </w:p>
        </w:tc>
        <w:tc>
          <w:tcPr>
            <w:tcW w:w="122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525</w:t>
            </w:r>
          </w:p>
        </w:tc>
        <w:tc>
          <w:tcPr>
            <w:tcW w:w="136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17.851</w:t>
            </w:r>
          </w:p>
        </w:tc>
        <w:tc>
          <w:tcPr>
            <w:tcW w:w="1219"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665</w:t>
            </w:r>
          </w:p>
        </w:tc>
        <w:tc>
          <w:tcPr>
            <w:tcW w:w="1261"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16.207</w:t>
            </w:r>
          </w:p>
        </w:tc>
        <w:tc>
          <w:tcPr>
            <w:tcW w:w="130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621</w:t>
            </w:r>
          </w:p>
        </w:tc>
        <w:tc>
          <w:tcPr>
            <w:tcW w:w="134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16.554</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rPr>
                <w:rFonts w:ascii="Arial" w:eastAsia="Times New Roman" w:hAnsi="Arial" w:cs="Arial"/>
                <w:color w:val="1F497D"/>
                <w:sz w:val="18"/>
                <w:szCs w:val="18"/>
                <w:lang w:eastAsia="hr-HR"/>
              </w:rPr>
            </w:pPr>
            <w:proofErr w:type="spellStart"/>
            <w:r w:rsidRPr="00F31772">
              <w:rPr>
                <w:rFonts w:ascii="Arial" w:eastAsia="Times New Roman" w:hAnsi="Arial" w:cs="Arial"/>
                <w:color w:val="1F497D"/>
                <w:sz w:val="18"/>
                <w:szCs w:val="18"/>
                <w:lang w:eastAsia="hr-HR"/>
              </w:rPr>
              <w:t>SPLIT</w:t>
            </w:r>
            <w:proofErr w:type="spellEnd"/>
          </w:p>
        </w:tc>
        <w:tc>
          <w:tcPr>
            <w:tcW w:w="122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528</w:t>
            </w:r>
          </w:p>
        </w:tc>
        <w:tc>
          <w:tcPr>
            <w:tcW w:w="136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15.774</w:t>
            </w:r>
          </w:p>
        </w:tc>
        <w:tc>
          <w:tcPr>
            <w:tcW w:w="1219"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451</w:t>
            </w:r>
          </w:p>
        </w:tc>
        <w:tc>
          <w:tcPr>
            <w:tcW w:w="1261"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15.838</w:t>
            </w:r>
          </w:p>
        </w:tc>
        <w:tc>
          <w:tcPr>
            <w:tcW w:w="130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466</w:t>
            </w:r>
          </w:p>
        </w:tc>
        <w:tc>
          <w:tcPr>
            <w:tcW w:w="134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11.582</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rPr>
                <w:rFonts w:ascii="Arial" w:eastAsia="Times New Roman" w:hAnsi="Arial" w:cs="Arial"/>
                <w:color w:val="1F497D"/>
                <w:sz w:val="18"/>
                <w:szCs w:val="18"/>
                <w:lang w:eastAsia="hr-HR"/>
              </w:rPr>
            </w:pPr>
            <w:proofErr w:type="spellStart"/>
            <w:r w:rsidRPr="00F31772">
              <w:rPr>
                <w:rFonts w:ascii="Arial" w:eastAsia="Times New Roman" w:hAnsi="Arial" w:cs="Arial"/>
                <w:color w:val="1F497D"/>
                <w:sz w:val="18"/>
                <w:szCs w:val="18"/>
                <w:lang w:eastAsia="hr-HR"/>
              </w:rPr>
              <w:t>ŠIBENIK</w:t>
            </w:r>
            <w:proofErr w:type="spellEnd"/>
          </w:p>
        </w:tc>
        <w:tc>
          <w:tcPr>
            <w:tcW w:w="122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62</w:t>
            </w:r>
          </w:p>
        </w:tc>
        <w:tc>
          <w:tcPr>
            <w:tcW w:w="136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4.290</w:t>
            </w:r>
          </w:p>
        </w:tc>
        <w:tc>
          <w:tcPr>
            <w:tcW w:w="1219"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63</w:t>
            </w:r>
          </w:p>
        </w:tc>
        <w:tc>
          <w:tcPr>
            <w:tcW w:w="1261"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3.321</w:t>
            </w:r>
          </w:p>
        </w:tc>
        <w:tc>
          <w:tcPr>
            <w:tcW w:w="130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73</w:t>
            </w:r>
          </w:p>
        </w:tc>
        <w:tc>
          <w:tcPr>
            <w:tcW w:w="134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2.739</w:t>
            </w:r>
          </w:p>
        </w:tc>
      </w:tr>
      <w:tr w:rsidR="00F31772" w:rsidRPr="00F31772" w:rsidTr="00F31772">
        <w:trPr>
          <w:trHeight w:val="300"/>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ZADAR</w:t>
            </w:r>
          </w:p>
        </w:tc>
        <w:tc>
          <w:tcPr>
            <w:tcW w:w="122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118</w:t>
            </w:r>
          </w:p>
        </w:tc>
        <w:tc>
          <w:tcPr>
            <w:tcW w:w="1360"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3.960</w:t>
            </w:r>
          </w:p>
        </w:tc>
        <w:tc>
          <w:tcPr>
            <w:tcW w:w="1219"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118</w:t>
            </w:r>
          </w:p>
        </w:tc>
        <w:tc>
          <w:tcPr>
            <w:tcW w:w="1261" w:type="dxa"/>
            <w:tcBorders>
              <w:top w:val="nil"/>
              <w:left w:val="nil"/>
              <w:bottom w:val="single" w:sz="4" w:space="0" w:color="auto"/>
              <w:right w:val="single" w:sz="4" w:space="0" w:color="auto"/>
            </w:tcBorders>
            <w:shd w:val="clear" w:color="auto" w:fill="auto"/>
            <w:noWrap/>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3.864</w:t>
            </w:r>
          </w:p>
        </w:tc>
        <w:tc>
          <w:tcPr>
            <w:tcW w:w="130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119</w:t>
            </w:r>
          </w:p>
        </w:tc>
        <w:tc>
          <w:tcPr>
            <w:tcW w:w="1340" w:type="dxa"/>
            <w:tcBorders>
              <w:top w:val="nil"/>
              <w:left w:val="nil"/>
              <w:bottom w:val="single" w:sz="4" w:space="0" w:color="auto"/>
              <w:right w:val="single" w:sz="4" w:space="0" w:color="auto"/>
            </w:tcBorders>
            <w:shd w:val="clear" w:color="auto" w:fill="auto"/>
            <w:vAlign w:val="bottom"/>
            <w:hideMark/>
          </w:tcPr>
          <w:p w:rsidR="00F31772" w:rsidRPr="00F31772" w:rsidRDefault="00F31772" w:rsidP="00F31772">
            <w:pPr>
              <w:spacing w:after="0" w:line="240" w:lineRule="auto"/>
              <w:jc w:val="right"/>
              <w:rPr>
                <w:rFonts w:ascii="Arial" w:eastAsia="Times New Roman" w:hAnsi="Arial" w:cs="Arial"/>
                <w:color w:val="1F497D"/>
                <w:sz w:val="18"/>
                <w:szCs w:val="18"/>
                <w:lang w:eastAsia="hr-HR"/>
              </w:rPr>
            </w:pPr>
            <w:r w:rsidRPr="00F31772">
              <w:rPr>
                <w:rFonts w:ascii="Arial" w:eastAsia="Times New Roman" w:hAnsi="Arial" w:cs="Arial"/>
                <w:color w:val="1F497D"/>
                <w:sz w:val="18"/>
                <w:szCs w:val="18"/>
                <w:lang w:eastAsia="hr-HR"/>
              </w:rPr>
              <w:t>4.202</w:t>
            </w:r>
          </w:p>
        </w:tc>
      </w:tr>
    </w:tbl>
    <w:p w:rsidR="00F83758" w:rsidRPr="00C22BE4" w:rsidRDefault="00F83758" w:rsidP="00F83758">
      <w:pPr>
        <w:spacing w:line="240" w:lineRule="auto"/>
        <w:rPr>
          <w:rFonts w:ascii="Times New Roman" w:eastAsia="Times New Roman" w:hAnsi="Times New Roman" w:cs="Times New Roman"/>
          <w:szCs w:val="24"/>
          <w:lang w:eastAsia="hr-HR"/>
        </w:rPr>
      </w:pPr>
      <w:r w:rsidRPr="00C22BE4">
        <w:rPr>
          <w:rFonts w:ascii="Times New Roman" w:eastAsia="Times New Roman" w:hAnsi="Times New Roman" w:cs="Times New Roman"/>
          <w:szCs w:val="24"/>
          <w:lang w:eastAsia="hr-HR"/>
        </w:rPr>
        <w:t>Izvor: FINA, 2012</w:t>
      </w:r>
      <w:r w:rsidR="009123FD">
        <w:rPr>
          <w:rFonts w:ascii="Times New Roman" w:eastAsia="Times New Roman" w:hAnsi="Times New Roman" w:cs="Times New Roman"/>
          <w:szCs w:val="24"/>
          <w:lang w:eastAsia="hr-HR"/>
        </w:rPr>
        <w:t>, obrada: ZADRA</w:t>
      </w:r>
    </w:p>
    <w:p w:rsidR="00F41B4F" w:rsidRPr="00F57AF5" w:rsidRDefault="00CD0CBA" w:rsidP="00F57AF5">
      <w:pPr>
        <w:pStyle w:val="Default"/>
        <w:jc w:val="both"/>
        <w:rPr>
          <w:rFonts w:ascii="Corbel" w:hAnsi="Corbel" w:cstheme="minorBidi"/>
          <w:color w:val="auto"/>
          <w:sz w:val="22"/>
          <w:szCs w:val="22"/>
        </w:rPr>
      </w:pPr>
      <w:r>
        <w:rPr>
          <w:rFonts w:ascii="Corbel" w:hAnsi="Corbel" w:cstheme="minorBidi"/>
          <w:color w:val="auto"/>
          <w:sz w:val="22"/>
          <w:szCs w:val="22"/>
        </w:rPr>
        <w:t xml:space="preserve">Na slici </w:t>
      </w:r>
      <w:r w:rsidRPr="00075FE8">
        <w:rPr>
          <w:rFonts w:ascii="Corbel" w:hAnsi="Corbel" w:cstheme="minorBidi"/>
          <w:color w:val="auto"/>
          <w:sz w:val="22"/>
          <w:szCs w:val="22"/>
        </w:rPr>
        <w:t>niže</w:t>
      </w:r>
      <w:r w:rsidR="00F57AF5" w:rsidRPr="00075FE8">
        <w:rPr>
          <w:rFonts w:ascii="Corbel" w:hAnsi="Corbel" w:cstheme="minorBidi"/>
          <w:color w:val="auto"/>
          <w:sz w:val="22"/>
          <w:szCs w:val="22"/>
        </w:rPr>
        <w:t xml:space="preserve"> možemo primijetiti kako je udio zaposlenih u izvozu u ukupnoj zaposlenosti grada na  </w:t>
      </w:r>
      <w:r w:rsidR="00F57AF5" w:rsidRPr="00075FE8">
        <w:rPr>
          <w:rFonts w:ascii="Corbel" w:hAnsi="Corbel" w:cstheme="minorBidi"/>
          <w:b/>
          <w:color w:val="auto"/>
          <w:sz w:val="22"/>
          <w:szCs w:val="22"/>
        </w:rPr>
        <w:t>12,51% u 2011. godini što je najniži udio zaposlenih u izvozu od svih odabranih Jadranskih gradova</w:t>
      </w:r>
      <w:r w:rsidR="00F57AF5" w:rsidRPr="00075FE8">
        <w:rPr>
          <w:rFonts w:ascii="Corbel" w:hAnsi="Corbel" w:cstheme="minorBidi"/>
          <w:color w:val="auto"/>
          <w:sz w:val="22"/>
          <w:szCs w:val="22"/>
        </w:rPr>
        <w:t>. Također, Zadar ima najmanji udio zaposlenih u izvozu i u ostalim promatranim godinama.</w:t>
      </w:r>
      <w:r w:rsidR="0005459F" w:rsidRPr="00075FE8">
        <w:rPr>
          <w:rFonts w:ascii="Corbel" w:hAnsi="Corbel" w:cstheme="minorBidi"/>
          <w:color w:val="auto"/>
          <w:sz w:val="22"/>
          <w:szCs w:val="22"/>
        </w:rPr>
        <w:t xml:space="preserve"> To svakako nije dobro jer nam upravo taj udio govori o snazi lokalne ekonomije. Pretpostavka je da lokalna ekonomija donosi više prihoda i više zapošljava ako je taj udio veći.</w:t>
      </w:r>
      <w:r w:rsidR="00F57AF5" w:rsidRPr="00075FE8">
        <w:rPr>
          <w:rFonts w:ascii="Corbel" w:hAnsi="Corbel" w:cstheme="minorBidi"/>
          <w:color w:val="auto"/>
          <w:sz w:val="22"/>
          <w:szCs w:val="22"/>
        </w:rPr>
        <w:t xml:space="preserve"> Ako razmotrimo dinamiku kretanja udjela zaposlenih u izvozu u ukupnoj zaposlenosti možemo primijetiti kako je</w:t>
      </w:r>
      <w:r w:rsidR="00F57AF5" w:rsidRPr="00F57AF5">
        <w:rPr>
          <w:rFonts w:ascii="Corbel" w:hAnsi="Corbel" w:cstheme="minorBidi"/>
          <w:color w:val="auto"/>
          <w:sz w:val="22"/>
          <w:szCs w:val="22"/>
        </w:rPr>
        <w:t xml:space="preserve"> najveći udio izvoza u ukupnoj zaposlenosti u 2001. godini nakon čega taj udio opada (raste ukupna zaposlenost i jačaju drugi ne-izvozni sektori). Nakon 2008. godine dolazi do rasta udjela zaposlenika izvoza najviše zbog pada ukupne zaposlenosti (vidljivo je ranije da se broj zaposlenih u izvozu također smanjio u većini gradova).</w:t>
      </w:r>
    </w:p>
    <w:p w:rsidR="00400768" w:rsidRDefault="00400768" w:rsidP="004A2B60">
      <w:pPr>
        <w:spacing w:after="0" w:line="240" w:lineRule="auto"/>
        <w:rPr>
          <w:rFonts w:ascii="Times New Roman" w:eastAsia="Times New Roman" w:hAnsi="Times New Roman" w:cs="Times New Roman"/>
          <w:sz w:val="28"/>
          <w:szCs w:val="24"/>
          <w:highlight w:val="yellow"/>
          <w:lang w:eastAsia="hr-HR"/>
        </w:rPr>
      </w:pPr>
    </w:p>
    <w:p w:rsidR="0005459F" w:rsidRDefault="0005459F" w:rsidP="004A2B60">
      <w:pPr>
        <w:spacing w:after="0" w:line="240" w:lineRule="auto"/>
        <w:rPr>
          <w:rFonts w:ascii="Times New Roman" w:eastAsia="Times New Roman" w:hAnsi="Times New Roman" w:cs="Times New Roman"/>
          <w:sz w:val="28"/>
          <w:szCs w:val="24"/>
          <w:highlight w:val="yellow"/>
          <w:lang w:eastAsia="hr-HR"/>
        </w:rPr>
      </w:pPr>
    </w:p>
    <w:p w:rsidR="0005459F" w:rsidRDefault="0005459F" w:rsidP="004A2B60">
      <w:pPr>
        <w:spacing w:after="0" w:line="240" w:lineRule="auto"/>
        <w:rPr>
          <w:rFonts w:ascii="Times New Roman" w:eastAsia="Times New Roman" w:hAnsi="Times New Roman" w:cs="Times New Roman"/>
          <w:sz w:val="28"/>
          <w:szCs w:val="24"/>
          <w:highlight w:val="yellow"/>
          <w:lang w:eastAsia="hr-HR"/>
        </w:rPr>
      </w:pPr>
    </w:p>
    <w:p w:rsidR="0005459F" w:rsidRDefault="0005459F" w:rsidP="0005459F">
      <w:pPr>
        <w:pStyle w:val="Opisslike"/>
        <w:keepNext/>
      </w:pPr>
      <w:bookmarkStart w:id="51" w:name="_Toc351538490"/>
      <w:r>
        <w:t xml:space="preserve">Slika </w:t>
      </w:r>
      <w:fldSimple w:instr=" SEQ Slika \* ARABIC ">
        <w:r w:rsidR="001E7A09">
          <w:rPr>
            <w:noProof/>
          </w:rPr>
          <w:t>27</w:t>
        </w:r>
      </w:fldSimple>
      <w:r>
        <w:t>.: Udio zaposlenih u izvozu u odnosu na ukupnu zaposlenost po godinama</w:t>
      </w:r>
      <w:bookmarkEnd w:id="51"/>
    </w:p>
    <w:p w:rsidR="0005459F" w:rsidRDefault="0005459F" w:rsidP="004A2B60">
      <w:pPr>
        <w:spacing w:after="0" w:line="240" w:lineRule="auto"/>
        <w:rPr>
          <w:rFonts w:ascii="Times New Roman" w:eastAsia="Times New Roman" w:hAnsi="Times New Roman" w:cs="Times New Roman"/>
          <w:sz w:val="28"/>
          <w:szCs w:val="24"/>
          <w:highlight w:val="yellow"/>
          <w:lang w:eastAsia="hr-HR"/>
        </w:rPr>
      </w:pPr>
      <w:r>
        <w:rPr>
          <w:noProof/>
          <w:lang w:eastAsia="hr-HR"/>
        </w:rPr>
        <w:drawing>
          <wp:inline distT="0" distB="0" distL="0" distR="0" wp14:anchorId="28D12923" wp14:editId="7B23F0F6">
            <wp:extent cx="5167313" cy="3190875"/>
            <wp:effectExtent l="0" t="0" r="14605" b="9525"/>
            <wp:docPr id="33" name="Grafikon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5459F" w:rsidRPr="00C22BE4" w:rsidRDefault="0005459F" w:rsidP="0005459F">
      <w:pPr>
        <w:spacing w:line="240" w:lineRule="auto"/>
        <w:rPr>
          <w:rFonts w:ascii="Times New Roman" w:eastAsia="Times New Roman" w:hAnsi="Times New Roman" w:cs="Times New Roman"/>
          <w:szCs w:val="24"/>
          <w:lang w:eastAsia="hr-HR"/>
        </w:rPr>
      </w:pPr>
      <w:r w:rsidRPr="00C22BE4">
        <w:rPr>
          <w:rFonts w:ascii="Times New Roman" w:eastAsia="Times New Roman" w:hAnsi="Times New Roman" w:cs="Times New Roman"/>
          <w:szCs w:val="24"/>
          <w:lang w:eastAsia="hr-HR"/>
        </w:rPr>
        <w:t>Izvor: FINA, 2012</w:t>
      </w:r>
      <w:r w:rsidR="009123FD">
        <w:rPr>
          <w:rFonts w:ascii="Times New Roman" w:eastAsia="Times New Roman" w:hAnsi="Times New Roman" w:cs="Times New Roman"/>
          <w:szCs w:val="24"/>
          <w:lang w:eastAsia="hr-HR"/>
        </w:rPr>
        <w:t>, HZMO po godinama, obrada: ZADRA</w:t>
      </w:r>
    </w:p>
    <w:p w:rsidR="00DE3176" w:rsidRPr="00B37C59" w:rsidRDefault="0041452A" w:rsidP="00B37C59">
      <w:pPr>
        <w:pStyle w:val="Naslov1"/>
        <w:spacing w:after="240"/>
      </w:pPr>
      <w:bookmarkStart w:id="52" w:name="_Toc351539741"/>
      <w:r w:rsidRPr="00B37C59">
        <w:t xml:space="preserve">6. </w:t>
      </w:r>
      <w:r w:rsidR="000D75E6" w:rsidRPr="00B37C59">
        <w:t>INVESTICIJE</w:t>
      </w:r>
      <w:bookmarkEnd w:id="52"/>
    </w:p>
    <w:p w:rsidR="001A112E" w:rsidRDefault="00DB3976" w:rsidP="0037360E">
      <w:pPr>
        <w:spacing w:line="240" w:lineRule="auto"/>
        <w:jc w:val="both"/>
        <w:rPr>
          <w:rFonts w:ascii="Times New Roman" w:hAnsi="Times New Roman" w:cs="Arial"/>
        </w:rPr>
      </w:pPr>
      <w:r w:rsidRPr="0037360E">
        <w:rPr>
          <w:rFonts w:ascii="Corbel" w:hAnsi="Corbel" w:cs="Arial"/>
        </w:rPr>
        <w:t xml:space="preserve">Podaci o investicijama u novu dugotrajnu imovinu dostupni su samo za županiju, no slična se struktura i dinamika kretanja investicija može preslikati i na grad. </w:t>
      </w:r>
      <w:r w:rsidR="00355DFE" w:rsidRPr="0037360E">
        <w:rPr>
          <w:rFonts w:ascii="Corbel" w:hAnsi="Corbel" w:cs="Arial"/>
        </w:rPr>
        <w:t xml:space="preserve">Usporedna analiza investicija po županijama pokazuje kako je </w:t>
      </w:r>
      <w:proofErr w:type="spellStart"/>
      <w:r w:rsidR="00355DFE" w:rsidRPr="0037360E">
        <w:rPr>
          <w:rFonts w:ascii="Corbel" w:hAnsi="Corbel" w:cs="Arial"/>
          <w:b/>
        </w:rPr>
        <w:t>ZŽ</w:t>
      </w:r>
      <w:proofErr w:type="spellEnd"/>
      <w:r w:rsidR="00355DFE" w:rsidRPr="0037360E">
        <w:rPr>
          <w:rFonts w:ascii="Corbel" w:hAnsi="Corbel" w:cs="Arial"/>
          <w:b/>
        </w:rPr>
        <w:t xml:space="preserve"> po </w:t>
      </w:r>
      <w:r w:rsidR="00B20C70" w:rsidRPr="0037360E">
        <w:rPr>
          <w:rFonts w:ascii="Corbel" w:hAnsi="Corbel" w:cs="Arial"/>
          <w:b/>
        </w:rPr>
        <w:t>i</w:t>
      </w:r>
      <w:r w:rsidR="00355DFE" w:rsidRPr="0037360E">
        <w:rPr>
          <w:rFonts w:ascii="Corbel" w:hAnsi="Corbel" w:cs="Arial"/>
          <w:b/>
        </w:rPr>
        <w:t>znosu investicija na predzadnjem</w:t>
      </w:r>
      <w:r w:rsidR="00235859" w:rsidRPr="0037360E">
        <w:rPr>
          <w:rFonts w:ascii="Corbel" w:hAnsi="Corbel" w:cs="Arial"/>
          <w:b/>
        </w:rPr>
        <w:t xml:space="preserve"> </w:t>
      </w:r>
      <w:r w:rsidR="00355DFE" w:rsidRPr="0037360E">
        <w:rPr>
          <w:rFonts w:ascii="Corbel" w:hAnsi="Corbel" w:cs="Arial"/>
          <w:b/>
        </w:rPr>
        <w:t>mjestu od Jadranskih županija</w:t>
      </w:r>
      <w:r w:rsidR="00355DFE" w:rsidRPr="0037360E">
        <w:rPr>
          <w:rFonts w:ascii="Corbel" w:hAnsi="Corbel" w:cs="Arial"/>
        </w:rPr>
        <w:t>.</w:t>
      </w:r>
      <w:r w:rsidR="0062629C" w:rsidRPr="0037360E">
        <w:rPr>
          <w:rFonts w:ascii="Corbel" w:hAnsi="Corbel" w:cs="Arial"/>
        </w:rPr>
        <w:t xml:space="preserve"> Prva po investicijama je Primorsko-goranska županija, iza koje slijede Splitsko-dalmatinska i Istarska županija</w:t>
      </w:r>
      <w:r w:rsidR="0062629C">
        <w:rPr>
          <w:rFonts w:ascii="Times New Roman" w:hAnsi="Times New Roman" w:cs="Arial"/>
        </w:rPr>
        <w:t>.</w:t>
      </w:r>
    </w:p>
    <w:p w:rsidR="0062629C" w:rsidRDefault="0062629C" w:rsidP="0062629C">
      <w:pPr>
        <w:pStyle w:val="Opisslike"/>
        <w:keepNext/>
        <w:jc w:val="both"/>
      </w:pPr>
      <w:bookmarkStart w:id="53" w:name="_Toc351538491"/>
      <w:r>
        <w:t xml:space="preserve">Slika </w:t>
      </w:r>
      <w:fldSimple w:instr=" SEQ Slika \* ARABIC ">
        <w:r w:rsidR="001E7A09">
          <w:rPr>
            <w:noProof/>
          </w:rPr>
          <w:t>28</w:t>
        </w:r>
      </w:fldSimple>
      <w:r>
        <w:t xml:space="preserve">.: Udio investicija županija u </w:t>
      </w:r>
      <w:r w:rsidR="00946F4C">
        <w:t xml:space="preserve">ukupnim </w:t>
      </w:r>
      <w:r>
        <w:t>RH investicijama u 2</w:t>
      </w:r>
      <w:r w:rsidR="00946F4C">
        <w:t>009. godini</w:t>
      </w:r>
      <w:bookmarkEnd w:id="53"/>
    </w:p>
    <w:p w:rsidR="00355DFE" w:rsidRDefault="00355DFE" w:rsidP="0062629C">
      <w:pPr>
        <w:spacing w:after="0"/>
        <w:jc w:val="both"/>
        <w:rPr>
          <w:rFonts w:ascii="Times New Roman" w:hAnsi="Times New Roman" w:cs="Arial"/>
        </w:rPr>
      </w:pPr>
      <w:r>
        <w:rPr>
          <w:noProof/>
          <w:lang w:eastAsia="hr-HR"/>
        </w:rPr>
        <w:drawing>
          <wp:inline distT="0" distB="0" distL="0" distR="0" wp14:anchorId="2CE017FC" wp14:editId="2C04F9BC">
            <wp:extent cx="5443870" cy="2743200"/>
            <wp:effectExtent l="0" t="0" r="23495" b="19050"/>
            <wp:docPr id="28" name="Grafikon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2629C" w:rsidRPr="000A0B93" w:rsidRDefault="0062629C" w:rsidP="00D95EEC">
      <w:pPr>
        <w:spacing w:line="240" w:lineRule="auto"/>
        <w:rPr>
          <w:rFonts w:ascii="Times New Roman" w:eastAsia="Times New Roman" w:hAnsi="Times New Roman" w:cs="Times New Roman"/>
          <w:szCs w:val="24"/>
          <w:lang w:eastAsia="hr-HR"/>
        </w:rPr>
      </w:pPr>
      <w:r w:rsidRPr="000A0B93">
        <w:rPr>
          <w:rFonts w:ascii="Times New Roman" w:eastAsia="Times New Roman" w:hAnsi="Times New Roman" w:cs="Times New Roman"/>
          <w:szCs w:val="24"/>
          <w:lang w:eastAsia="hr-HR"/>
        </w:rPr>
        <w:t>Izvor: DZS, Priopćenja po godinama, obrada: ZADRA</w:t>
      </w:r>
    </w:p>
    <w:p w:rsidR="00946F4C" w:rsidRPr="0037360E" w:rsidRDefault="00946F4C" w:rsidP="0037360E">
      <w:pPr>
        <w:spacing w:line="240" w:lineRule="auto"/>
        <w:jc w:val="both"/>
        <w:rPr>
          <w:rFonts w:ascii="Corbel" w:hAnsi="Corbel" w:cs="Arial"/>
        </w:rPr>
      </w:pPr>
      <w:r w:rsidRPr="0037360E">
        <w:rPr>
          <w:rFonts w:ascii="Corbel" w:hAnsi="Corbel" w:cs="Arial"/>
        </w:rPr>
        <w:lastRenderedPageBreak/>
        <w:t>Ako promotrimo dinamiku kretanja inve</w:t>
      </w:r>
      <w:r w:rsidR="001457D3">
        <w:rPr>
          <w:rFonts w:ascii="Corbel" w:hAnsi="Corbel" w:cs="Arial"/>
        </w:rPr>
        <w:t>sticija u prethodnom desetljeću</w:t>
      </w:r>
      <w:r w:rsidRPr="0037360E">
        <w:rPr>
          <w:rFonts w:ascii="Corbel" w:hAnsi="Corbel" w:cs="Arial"/>
        </w:rPr>
        <w:t xml:space="preserve"> uočavamo vrlo znakovit trend kretanja investicija</w:t>
      </w:r>
      <w:r w:rsidR="00E71343" w:rsidRPr="0037360E">
        <w:rPr>
          <w:rFonts w:ascii="Corbel" w:hAnsi="Corbel" w:cs="Arial"/>
        </w:rPr>
        <w:t xml:space="preserve"> u razvojnim i recesijskim godinama</w:t>
      </w:r>
      <w:r w:rsidRPr="0037360E">
        <w:rPr>
          <w:rFonts w:ascii="Corbel" w:hAnsi="Corbel" w:cs="Arial"/>
        </w:rPr>
        <w:t xml:space="preserve">. U usporedbi sa </w:t>
      </w:r>
      <w:r w:rsidR="00E71343" w:rsidRPr="0037360E">
        <w:rPr>
          <w:rFonts w:ascii="Corbel" w:hAnsi="Corbel" w:cs="Arial"/>
        </w:rPr>
        <w:t xml:space="preserve">prethodnom analizom </w:t>
      </w:r>
      <w:r w:rsidRPr="0037360E">
        <w:rPr>
          <w:rFonts w:ascii="Corbel" w:hAnsi="Corbel" w:cs="Arial"/>
        </w:rPr>
        <w:t xml:space="preserve">zaposlenosti ili </w:t>
      </w:r>
      <w:r w:rsidR="00E71343" w:rsidRPr="0037360E">
        <w:rPr>
          <w:rFonts w:ascii="Corbel" w:hAnsi="Corbel" w:cs="Arial"/>
        </w:rPr>
        <w:t>BDP-a</w:t>
      </w:r>
      <w:r w:rsidRPr="0037360E">
        <w:rPr>
          <w:rFonts w:ascii="Corbel" w:hAnsi="Corbel" w:cs="Arial"/>
        </w:rPr>
        <w:t xml:space="preserve"> vidljivo je kako investicije prije reagiraju na krizu, </w:t>
      </w:r>
      <w:r w:rsidRPr="0037360E">
        <w:rPr>
          <w:rFonts w:ascii="Corbel" w:hAnsi="Corbel" w:cs="Arial"/>
          <w:b/>
        </w:rPr>
        <w:t>pa tako već u 2007/2008. godini, na prvi dodir globalne ekonomske krize, imamo zaustavljanje investicija</w:t>
      </w:r>
      <w:r w:rsidRPr="0037360E">
        <w:rPr>
          <w:rFonts w:ascii="Corbel" w:hAnsi="Corbel" w:cs="Arial"/>
        </w:rPr>
        <w:t xml:space="preserve"> koje je prisutno u gotovo svim županijama (osim </w:t>
      </w:r>
      <w:proofErr w:type="spellStart"/>
      <w:r w:rsidRPr="0037360E">
        <w:rPr>
          <w:rFonts w:ascii="Corbel" w:hAnsi="Corbel" w:cs="Arial"/>
        </w:rPr>
        <w:t>PGŽ</w:t>
      </w:r>
      <w:proofErr w:type="spellEnd"/>
      <w:r w:rsidRPr="0037360E">
        <w:rPr>
          <w:rFonts w:ascii="Corbel" w:hAnsi="Corbel" w:cs="Arial"/>
        </w:rPr>
        <w:t xml:space="preserve"> i </w:t>
      </w:r>
      <w:proofErr w:type="spellStart"/>
      <w:r w:rsidRPr="0037360E">
        <w:rPr>
          <w:rFonts w:ascii="Corbel" w:hAnsi="Corbel" w:cs="Arial"/>
        </w:rPr>
        <w:t>ŠKŽ</w:t>
      </w:r>
      <w:proofErr w:type="spellEnd"/>
      <w:r w:rsidRPr="0037360E">
        <w:rPr>
          <w:rFonts w:ascii="Corbel" w:hAnsi="Corbel" w:cs="Arial"/>
        </w:rPr>
        <w:t xml:space="preserve">). Nakon 2008. godine dolazi do ogromnog pada, te investicije u </w:t>
      </w:r>
      <w:proofErr w:type="spellStart"/>
      <w:r w:rsidRPr="0037360E">
        <w:rPr>
          <w:rFonts w:ascii="Corbel" w:hAnsi="Corbel" w:cs="Arial"/>
        </w:rPr>
        <w:t>ZŽ</w:t>
      </w:r>
      <w:proofErr w:type="spellEnd"/>
      <w:r w:rsidRPr="0037360E">
        <w:rPr>
          <w:rFonts w:ascii="Corbel" w:hAnsi="Corbel" w:cs="Arial"/>
        </w:rPr>
        <w:t xml:space="preserve"> padaju na 73% vrijednosti investicija iz 2001. godine (u tri godine sa 228% na 73%). Ovaj graf kretanja investicija možda i najbolje slikovito predočuje pogubne učinke gospodarske krize koje osjećamo još i danas. Iako kriza investicija nastupa u 2008. godini, kriza u svim ostalim gospodarskim segmentima „osjeti“ se tek nekoliko godina kasnije.</w:t>
      </w:r>
    </w:p>
    <w:p w:rsidR="00946F4C" w:rsidRDefault="00946F4C" w:rsidP="00946F4C">
      <w:pPr>
        <w:pStyle w:val="Opisslike"/>
        <w:keepNext/>
        <w:jc w:val="both"/>
      </w:pPr>
      <w:bookmarkStart w:id="54" w:name="_Toc351538492"/>
      <w:r>
        <w:t xml:space="preserve">Slika </w:t>
      </w:r>
      <w:fldSimple w:instr=" SEQ Slika \* ARABIC ">
        <w:r w:rsidR="001E7A09">
          <w:rPr>
            <w:noProof/>
          </w:rPr>
          <w:t>29</w:t>
        </w:r>
      </w:fldSimple>
      <w:r>
        <w:t xml:space="preserve">.: Kretanje </w:t>
      </w:r>
      <w:r w:rsidR="001867F8">
        <w:t>investicija</w:t>
      </w:r>
      <w:r>
        <w:t xml:space="preserve"> za područje županija </w:t>
      </w:r>
      <w:proofErr w:type="spellStart"/>
      <w:r>
        <w:t>J</w:t>
      </w:r>
      <w:r w:rsidR="001867F8">
        <w:t>RH</w:t>
      </w:r>
      <w:proofErr w:type="spellEnd"/>
      <w:r w:rsidR="001867F8">
        <w:t xml:space="preserve"> i RH od 2001.do </w:t>
      </w:r>
      <w:r>
        <w:t>2010.</w:t>
      </w:r>
      <w:bookmarkEnd w:id="54"/>
    </w:p>
    <w:p w:rsidR="00946F4C" w:rsidRDefault="00946F4C" w:rsidP="003D0416">
      <w:pPr>
        <w:jc w:val="both"/>
        <w:rPr>
          <w:rFonts w:ascii="Times New Roman" w:hAnsi="Times New Roman" w:cs="Arial"/>
          <w:highlight w:val="yellow"/>
        </w:rPr>
      </w:pPr>
      <w:r>
        <w:rPr>
          <w:noProof/>
          <w:lang w:eastAsia="hr-HR"/>
        </w:rPr>
        <w:drawing>
          <wp:inline distT="0" distB="0" distL="0" distR="0" wp14:anchorId="55ED7D4F" wp14:editId="12ED1BA4">
            <wp:extent cx="5826642" cy="3094075"/>
            <wp:effectExtent l="0" t="0" r="22225" b="11430"/>
            <wp:docPr id="29" name="Grafikon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46F4C" w:rsidRPr="000A0B93" w:rsidRDefault="00946F4C" w:rsidP="00946F4C">
      <w:pPr>
        <w:spacing w:line="240" w:lineRule="auto"/>
        <w:rPr>
          <w:rFonts w:ascii="Times New Roman" w:eastAsia="Times New Roman" w:hAnsi="Times New Roman" w:cs="Times New Roman"/>
          <w:szCs w:val="24"/>
          <w:lang w:eastAsia="hr-HR"/>
        </w:rPr>
      </w:pPr>
      <w:r w:rsidRPr="000A0B93">
        <w:rPr>
          <w:rFonts w:ascii="Times New Roman" w:eastAsia="Times New Roman" w:hAnsi="Times New Roman" w:cs="Times New Roman"/>
          <w:szCs w:val="24"/>
          <w:lang w:eastAsia="hr-HR"/>
        </w:rPr>
        <w:t xml:space="preserve">Izvor: DZS, </w:t>
      </w:r>
      <w:r>
        <w:rPr>
          <w:rFonts w:ascii="Times New Roman" w:eastAsia="Times New Roman" w:hAnsi="Times New Roman" w:cs="Times New Roman"/>
          <w:szCs w:val="24"/>
          <w:lang w:eastAsia="hr-HR"/>
        </w:rPr>
        <w:t xml:space="preserve">Statistička izvješća </w:t>
      </w:r>
      <w:r w:rsidRPr="000A0B93">
        <w:rPr>
          <w:rFonts w:ascii="Times New Roman" w:eastAsia="Times New Roman" w:hAnsi="Times New Roman" w:cs="Times New Roman"/>
          <w:szCs w:val="24"/>
          <w:lang w:eastAsia="hr-HR"/>
        </w:rPr>
        <w:t>po godinama, obrada: ZADRA</w:t>
      </w:r>
    </w:p>
    <w:p w:rsidR="001A112E" w:rsidRPr="0037360E" w:rsidRDefault="0062460F" w:rsidP="003D0416">
      <w:pPr>
        <w:jc w:val="both"/>
        <w:rPr>
          <w:rFonts w:ascii="Corbel" w:hAnsi="Corbel" w:cs="Arial"/>
        </w:rPr>
      </w:pPr>
      <w:r w:rsidRPr="0037360E">
        <w:rPr>
          <w:rFonts w:ascii="Corbel" w:hAnsi="Corbel" w:cs="Arial"/>
        </w:rPr>
        <w:t xml:space="preserve">Prema slici niže možemo vidjeti </w:t>
      </w:r>
      <w:r w:rsidR="00490D50" w:rsidRPr="0037360E">
        <w:rPr>
          <w:rFonts w:ascii="Corbel" w:hAnsi="Corbel" w:cs="Arial"/>
        </w:rPr>
        <w:t>koji su to</w:t>
      </w:r>
      <w:r w:rsidR="001A112E" w:rsidRPr="0037360E">
        <w:rPr>
          <w:rFonts w:ascii="Corbel" w:hAnsi="Corbel" w:cs="Arial"/>
        </w:rPr>
        <w:t xml:space="preserve"> sektori </w:t>
      </w:r>
      <w:r w:rsidR="00490D50" w:rsidRPr="0037360E">
        <w:rPr>
          <w:rFonts w:ascii="Corbel" w:hAnsi="Corbel" w:cs="Arial"/>
        </w:rPr>
        <w:t>koji čine većinu investicija</w:t>
      </w:r>
      <w:r w:rsidR="001A112E" w:rsidRPr="0037360E">
        <w:rPr>
          <w:rFonts w:ascii="Corbel" w:hAnsi="Corbel" w:cs="Arial"/>
        </w:rPr>
        <w:t xml:space="preserve"> </w:t>
      </w:r>
      <w:r w:rsidRPr="0037360E">
        <w:rPr>
          <w:rFonts w:ascii="Corbel" w:hAnsi="Corbel" w:cs="Arial"/>
        </w:rPr>
        <w:t xml:space="preserve"> u Zadarskoj županiji</w:t>
      </w:r>
      <w:r w:rsidR="001A112E" w:rsidRPr="0037360E">
        <w:rPr>
          <w:rFonts w:ascii="Corbel" w:hAnsi="Corbel" w:cs="Arial"/>
        </w:rPr>
        <w:t xml:space="preserve"> u 2009. godini</w:t>
      </w:r>
      <w:r w:rsidR="00490D50" w:rsidRPr="0037360E">
        <w:rPr>
          <w:rFonts w:ascii="Corbel" w:hAnsi="Corbel" w:cs="Arial"/>
        </w:rPr>
        <w:t>. Kao što možemo vidjeti, to su u najvećoj mjeri</w:t>
      </w:r>
      <w:r w:rsidR="001A112E" w:rsidRPr="0037360E">
        <w:rPr>
          <w:rFonts w:ascii="Corbel" w:hAnsi="Corbel" w:cs="Arial"/>
        </w:rPr>
        <w:t>:</w:t>
      </w:r>
    </w:p>
    <w:p w:rsidR="001A112E" w:rsidRPr="0037360E" w:rsidRDefault="0062460F" w:rsidP="003D0416">
      <w:pPr>
        <w:jc w:val="both"/>
        <w:rPr>
          <w:rFonts w:ascii="Corbel" w:hAnsi="Corbel" w:cs="Arial"/>
        </w:rPr>
      </w:pPr>
      <w:r w:rsidRPr="0037360E">
        <w:rPr>
          <w:rFonts w:ascii="Corbel" w:hAnsi="Corbel" w:cs="Arial"/>
          <w:i/>
        </w:rPr>
        <w:t xml:space="preserve">(F) </w:t>
      </w:r>
      <w:r w:rsidR="00461F0F" w:rsidRPr="0037360E">
        <w:rPr>
          <w:rFonts w:ascii="Corbel" w:hAnsi="Corbel" w:cs="Arial"/>
          <w:i/>
        </w:rPr>
        <w:t xml:space="preserve"> </w:t>
      </w:r>
      <w:r w:rsidRPr="0037360E">
        <w:rPr>
          <w:rFonts w:ascii="Corbel" w:hAnsi="Corbel" w:cs="Arial"/>
          <w:i/>
        </w:rPr>
        <w:t>Građevinarstvo</w:t>
      </w:r>
      <w:r w:rsidR="001A112E" w:rsidRPr="0037360E">
        <w:rPr>
          <w:rFonts w:ascii="Corbel" w:hAnsi="Corbel" w:cs="Arial"/>
          <w:i/>
        </w:rPr>
        <w:t xml:space="preserve">, </w:t>
      </w:r>
    </w:p>
    <w:p w:rsidR="003D037A" w:rsidRPr="0037360E" w:rsidRDefault="001A112E" w:rsidP="003D0416">
      <w:pPr>
        <w:jc w:val="both"/>
        <w:rPr>
          <w:rFonts w:ascii="Corbel" w:hAnsi="Corbel" w:cs="Arial"/>
        </w:rPr>
      </w:pPr>
      <w:r w:rsidRPr="0037360E">
        <w:rPr>
          <w:rFonts w:ascii="Corbel" w:hAnsi="Corbel" w:cs="Arial"/>
        </w:rPr>
        <w:t>(</w:t>
      </w:r>
      <w:r w:rsidRPr="0037360E">
        <w:rPr>
          <w:rFonts w:ascii="Corbel" w:hAnsi="Corbel" w:cs="Arial"/>
          <w:i/>
        </w:rPr>
        <w:t xml:space="preserve">I) Pružanja smještaja te pripreme i usluživanja hrane, </w:t>
      </w:r>
    </w:p>
    <w:p w:rsidR="000D75E6" w:rsidRDefault="000D75E6" w:rsidP="000D75E6">
      <w:pPr>
        <w:pStyle w:val="Opisslike"/>
        <w:keepNext/>
        <w:jc w:val="both"/>
      </w:pPr>
      <w:bookmarkStart w:id="55" w:name="_Toc351538493"/>
      <w:r>
        <w:lastRenderedPageBreak/>
        <w:t xml:space="preserve">Slika </w:t>
      </w:r>
      <w:fldSimple w:instr=" SEQ Slika \* ARABIC ">
        <w:r w:rsidR="001E7A09">
          <w:rPr>
            <w:noProof/>
          </w:rPr>
          <w:t>30</w:t>
        </w:r>
      </w:fldSimple>
      <w:r>
        <w:t>.: Struktura investicija u Zadarskoj županiji po sektorima, NKD 2007 u 2009. godini</w:t>
      </w:r>
      <w:bookmarkEnd w:id="55"/>
    </w:p>
    <w:p w:rsidR="00DE0E84" w:rsidRDefault="000D75E6" w:rsidP="000D75E6">
      <w:pPr>
        <w:spacing w:after="0"/>
        <w:jc w:val="both"/>
        <w:rPr>
          <w:rFonts w:ascii="Times New Roman" w:hAnsi="Times New Roman" w:cs="Arial"/>
          <w:b/>
        </w:rPr>
      </w:pPr>
      <w:r>
        <w:rPr>
          <w:noProof/>
          <w:lang w:eastAsia="hr-HR"/>
        </w:rPr>
        <w:drawing>
          <wp:inline distT="0" distB="0" distL="0" distR="0" wp14:anchorId="2D4A112F" wp14:editId="0D82112B">
            <wp:extent cx="5434543" cy="3043768"/>
            <wp:effectExtent l="0" t="0" r="13970" b="23495"/>
            <wp:docPr id="27" name="Grafikon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D75E6" w:rsidRPr="000A0B93" w:rsidRDefault="000D75E6" w:rsidP="000D75E6">
      <w:pPr>
        <w:spacing w:line="240" w:lineRule="auto"/>
        <w:rPr>
          <w:rFonts w:ascii="Times New Roman" w:eastAsia="Times New Roman" w:hAnsi="Times New Roman" w:cs="Times New Roman"/>
          <w:szCs w:val="24"/>
          <w:lang w:eastAsia="hr-HR"/>
        </w:rPr>
      </w:pPr>
      <w:r w:rsidRPr="000A0B93">
        <w:rPr>
          <w:rFonts w:ascii="Times New Roman" w:eastAsia="Times New Roman" w:hAnsi="Times New Roman" w:cs="Times New Roman"/>
          <w:szCs w:val="24"/>
          <w:lang w:eastAsia="hr-HR"/>
        </w:rPr>
        <w:t>Izvor: DZS, Priopćenja po godinama, obrada: ZADRA</w:t>
      </w:r>
    </w:p>
    <w:p w:rsidR="00EF3947" w:rsidRPr="0037360E" w:rsidRDefault="00490D50" w:rsidP="003D0416">
      <w:pPr>
        <w:jc w:val="both"/>
        <w:rPr>
          <w:rFonts w:ascii="Corbel" w:eastAsia="Times New Roman" w:hAnsi="Corbel" w:cs="Times New Roman"/>
          <w:sz w:val="18"/>
          <w:szCs w:val="18"/>
          <w:lang w:eastAsia="hr-HR"/>
        </w:rPr>
      </w:pPr>
      <w:r w:rsidRPr="0037360E">
        <w:rPr>
          <w:rFonts w:ascii="Corbel" w:hAnsi="Corbel" w:cs="Arial"/>
          <w:b/>
        </w:rPr>
        <w:t>Međutim, kada su investicije bile na vrhuncu (u 2007.) struktura investicija je nešto drugačija, pa je tako najviše ulagano u sektorima:</w:t>
      </w:r>
      <w:r w:rsidRPr="0037360E">
        <w:rPr>
          <w:rFonts w:ascii="Corbel" w:eastAsia="Times New Roman" w:hAnsi="Corbel" w:cs="Times New Roman"/>
          <w:sz w:val="18"/>
          <w:szCs w:val="18"/>
          <w:lang w:eastAsia="hr-HR"/>
        </w:rPr>
        <w:t xml:space="preserve"> </w:t>
      </w:r>
    </w:p>
    <w:p w:rsidR="00EF3947" w:rsidRPr="0037360E" w:rsidRDefault="00490D50" w:rsidP="00EF3947">
      <w:pPr>
        <w:pStyle w:val="Odlomakpopisa"/>
        <w:numPr>
          <w:ilvl w:val="0"/>
          <w:numId w:val="17"/>
        </w:numPr>
        <w:jc w:val="both"/>
        <w:rPr>
          <w:rFonts w:ascii="Corbel" w:hAnsi="Corbel" w:cs="Arial"/>
          <w:b/>
          <w:i/>
        </w:rPr>
      </w:pPr>
      <w:r w:rsidRPr="0037360E">
        <w:rPr>
          <w:rFonts w:ascii="Corbel" w:hAnsi="Corbel" w:cs="Arial"/>
          <w:b/>
          <w:i/>
        </w:rPr>
        <w:t xml:space="preserve">Opskrba električnom energijom vodom i plinom </w:t>
      </w:r>
    </w:p>
    <w:p w:rsidR="00EF3947" w:rsidRPr="0037360E" w:rsidRDefault="00490D50" w:rsidP="00EF3947">
      <w:pPr>
        <w:pStyle w:val="Odlomakpopisa"/>
        <w:numPr>
          <w:ilvl w:val="0"/>
          <w:numId w:val="17"/>
        </w:numPr>
        <w:jc w:val="both"/>
        <w:rPr>
          <w:rFonts w:ascii="Corbel" w:hAnsi="Corbel" w:cs="Arial"/>
          <w:b/>
          <w:i/>
        </w:rPr>
      </w:pPr>
      <w:r w:rsidRPr="0037360E">
        <w:rPr>
          <w:rFonts w:ascii="Corbel" w:hAnsi="Corbel" w:cs="Arial"/>
          <w:b/>
          <w:i/>
        </w:rPr>
        <w:t xml:space="preserve">Građevinarstvo </w:t>
      </w:r>
    </w:p>
    <w:p w:rsidR="00EF3947" w:rsidRPr="0037360E" w:rsidRDefault="00490D50" w:rsidP="00EF3947">
      <w:pPr>
        <w:pStyle w:val="Odlomakpopisa"/>
        <w:numPr>
          <w:ilvl w:val="0"/>
          <w:numId w:val="17"/>
        </w:numPr>
        <w:jc w:val="both"/>
        <w:rPr>
          <w:rFonts w:ascii="Corbel" w:hAnsi="Corbel" w:cs="Arial"/>
          <w:b/>
          <w:i/>
        </w:rPr>
      </w:pPr>
      <w:r w:rsidRPr="0037360E">
        <w:rPr>
          <w:rFonts w:ascii="Corbel" w:hAnsi="Corbel" w:cs="Arial"/>
          <w:b/>
          <w:i/>
        </w:rPr>
        <w:t>Trgovina na malo i veliko</w:t>
      </w:r>
    </w:p>
    <w:p w:rsidR="00490D50" w:rsidRPr="0037360E" w:rsidRDefault="00490D50" w:rsidP="003D0416">
      <w:pPr>
        <w:pStyle w:val="Odlomakpopisa"/>
        <w:numPr>
          <w:ilvl w:val="0"/>
          <w:numId w:val="17"/>
        </w:numPr>
        <w:jc w:val="both"/>
        <w:rPr>
          <w:rFonts w:ascii="Corbel" w:hAnsi="Corbel" w:cs="Arial"/>
          <w:b/>
          <w:i/>
        </w:rPr>
      </w:pPr>
      <w:r w:rsidRPr="0037360E">
        <w:rPr>
          <w:rFonts w:ascii="Corbel" w:hAnsi="Corbel" w:cs="Arial"/>
          <w:b/>
          <w:i/>
        </w:rPr>
        <w:t>Hoteli i restorani</w:t>
      </w:r>
    </w:p>
    <w:p w:rsidR="00EF3947" w:rsidRDefault="00EF3947" w:rsidP="00EF3947">
      <w:pPr>
        <w:pStyle w:val="Opisslike"/>
        <w:keepNext/>
        <w:jc w:val="both"/>
      </w:pPr>
      <w:bookmarkStart w:id="56" w:name="_Toc351538494"/>
      <w:r>
        <w:t xml:space="preserve">Slika </w:t>
      </w:r>
      <w:fldSimple w:instr=" SEQ Slika \* ARABIC ">
        <w:r w:rsidR="001E7A09">
          <w:rPr>
            <w:noProof/>
          </w:rPr>
          <w:t>31</w:t>
        </w:r>
      </w:fldSimple>
      <w:r>
        <w:t>.:</w:t>
      </w:r>
      <w:r w:rsidRPr="00EF3947">
        <w:t xml:space="preserve"> </w:t>
      </w:r>
      <w:r>
        <w:t>Struktura investicija u Zadarskoj županiji po sektorima, NKD 2002 u 2007. godini</w:t>
      </w:r>
      <w:bookmarkEnd w:id="56"/>
    </w:p>
    <w:p w:rsidR="00EF3947" w:rsidRDefault="00EF3947" w:rsidP="005D6E98">
      <w:pPr>
        <w:spacing w:after="0"/>
        <w:jc w:val="both"/>
        <w:rPr>
          <w:rFonts w:ascii="Times New Roman" w:hAnsi="Times New Roman" w:cs="Arial"/>
          <w:b/>
          <w:i/>
        </w:rPr>
      </w:pPr>
      <w:r>
        <w:rPr>
          <w:noProof/>
          <w:lang w:eastAsia="hr-HR"/>
        </w:rPr>
        <w:drawing>
          <wp:inline distT="0" distB="0" distL="0" distR="0" wp14:anchorId="51D950F9" wp14:editId="19043CB2">
            <wp:extent cx="5355166" cy="3313642"/>
            <wp:effectExtent l="0" t="0" r="17145" b="20320"/>
            <wp:docPr id="30" name="Grafikon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5D6E98" w:rsidRPr="000A0B93" w:rsidRDefault="005D6E98" w:rsidP="005D6E98">
      <w:pPr>
        <w:spacing w:line="240" w:lineRule="auto"/>
        <w:rPr>
          <w:rFonts w:ascii="Times New Roman" w:eastAsia="Times New Roman" w:hAnsi="Times New Roman" w:cs="Times New Roman"/>
          <w:szCs w:val="24"/>
          <w:lang w:eastAsia="hr-HR"/>
        </w:rPr>
      </w:pPr>
      <w:r w:rsidRPr="000A0B93">
        <w:rPr>
          <w:rFonts w:ascii="Times New Roman" w:eastAsia="Times New Roman" w:hAnsi="Times New Roman" w:cs="Times New Roman"/>
          <w:szCs w:val="24"/>
          <w:lang w:eastAsia="hr-HR"/>
        </w:rPr>
        <w:t>Izvor: DZS, Priopćenja po godinama, obrada: ZADRA</w:t>
      </w:r>
    </w:p>
    <w:p w:rsidR="00490D50" w:rsidRPr="00632771" w:rsidRDefault="00EF3947" w:rsidP="003D0416">
      <w:pPr>
        <w:jc w:val="both"/>
        <w:rPr>
          <w:rFonts w:ascii="Corbel" w:hAnsi="Corbel" w:cs="Arial"/>
        </w:rPr>
      </w:pPr>
      <w:r w:rsidRPr="00632771">
        <w:rPr>
          <w:rFonts w:ascii="Corbel" w:hAnsi="Corbel" w:cs="Arial"/>
        </w:rPr>
        <w:lastRenderedPageBreak/>
        <w:t>Prerađiv</w:t>
      </w:r>
      <w:r w:rsidR="00B52DFD" w:rsidRPr="00632771">
        <w:rPr>
          <w:rFonts w:ascii="Corbel" w:hAnsi="Corbel" w:cs="Arial"/>
        </w:rPr>
        <w:t>a</w:t>
      </w:r>
      <w:r w:rsidRPr="00632771">
        <w:rPr>
          <w:rFonts w:ascii="Corbel" w:hAnsi="Corbel" w:cs="Arial"/>
        </w:rPr>
        <w:t xml:space="preserve">čka industrija je i u 2009. i u 2007. na 6% od ukupnih investicija. </w:t>
      </w:r>
      <w:r w:rsidR="00490D50" w:rsidRPr="00632771">
        <w:rPr>
          <w:rFonts w:ascii="Corbel" w:hAnsi="Corbel" w:cs="Arial"/>
          <w:b/>
        </w:rPr>
        <w:t xml:space="preserve">U svim ostalim sektorima raspodjela ulaganja je podjednaka, što također potvrđuje prethodnu analizu da je struktura Zadarskog gospodarstva značajno </w:t>
      </w:r>
      <w:proofErr w:type="spellStart"/>
      <w:r w:rsidR="00490D50" w:rsidRPr="00632771">
        <w:rPr>
          <w:rFonts w:ascii="Corbel" w:hAnsi="Corbel" w:cs="Arial"/>
          <w:b/>
        </w:rPr>
        <w:t>diverzificirana</w:t>
      </w:r>
      <w:proofErr w:type="spellEnd"/>
      <w:r w:rsidR="00490D50" w:rsidRPr="00632771">
        <w:rPr>
          <w:rFonts w:ascii="Corbel" w:hAnsi="Corbel" w:cs="Arial"/>
        </w:rPr>
        <w:t>.</w:t>
      </w:r>
    </w:p>
    <w:p w:rsidR="003D037A" w:rsidRPr="00632771" w:rsidRDefault="00D628E7" w:rsidP="003D0416">
      <w:pPr>
        <w:jc w:val="both"/>
        <w:rPr>
          <w:rFonts w:ascii="Corbel" w:hAnsi="Corbel" w:cs="Arial"/>
          <w:b/>
        </w:rPr>
      </w:pPr>
      <w:r w:rsidRPr="00632771">
        <w:rPr>
          <w:rFonts w:ascii="Corbel" w:hAnsi="Corbel" w:cs="Arial"/>
          <w:b/>
        </w:rPr>
        <w:t>Usporedna analiza</w:t>
      </w:r>
      <w:r w:rsidR="005D6E98" w:rsidRPr="00632771">
        <w:rPr>
          <w:rFonts w:ascii="Corbel" w:hAnsi="Corbel" w:cs="Arial"/>
          <w:b/>
        </w:rPr>
        <w:t xml:space="preserve"> investicija </w:t>
      </w:r>
      <w:r w:rsidRPr="00632771">
        <w:rPr>
          <w:rFonts w:ascii="Corbel" w:hAnsi="Corbel" w:cs="Arial"/>
          <w:b/>
        </w:rPr>
        <w:t>za</w:t>
      </w:r>
      <w:r w:rsidR="005D6E98" w:rsidRPr="00632771">
        <w:rPr>
          <w:rFonts w:ascii="Corbel" w:hAnsi="Corbel" w:cs="Arial"/>
          <w:b/>
        </w:rPr>
        <w:t xml:space="preserve"> RH </w:t>
      </w:r>
      <w:r w:rsidRPr="00632771">
        <w:rPr>
          <w:rFonts w:ascii="Corbel" w:hAnsi="Corbel" w:cs="Arial"/>
          <w:b/>
        </w:rPr>
        <w:t xml:space="preserve">pokazuje da su </w:t>
      </w:r>
      <w:r w:rsidR="005D6E98" w:rsidRPr="00632771">
        <w:rPr>
          <w:rFonts w:ascii="Corbel" w:hAnsi="Corbel" w:cs="Arial"/>
          <w:b/>
        </w:rPr>
        <w:t>sektori u kojima se najviše ulagalo</w:t>
      </w:r>
      <w:r w:rsidRPr="00632771">
        <w:rPr>
          <w:rFonts w:ascii="Corbel" w:hAnsi="Corbel" w:cs="Arial"/>
          <w:b/>
        </w:rPr>
        <w:t xml:space="preserve"> u RH</w:t>
      </w:r>
      <w:r w:rsidR="005D6E98" w:rsidRPr="00632771">
        <w:rPr>
          <w:rFonts w:ascii="Corbel" w:hAnsi="Corbel" w:cs="Arial"/>
          <w:b/>
        </w:rPr>
        <w:t xml:space="preserve"> u 2009. sljedeći:</w:t>
      </w:r>
    </w:p>
    <w:p w:rsidR="005D6E98" w:rsidRPr="00632771" w:rsidRDefault="005D6E98" w:rsidP="005D6E98">
      <w:pPr>
        <w:pStyle w:val="Odlomakpopisa"/>
        <w:numPr>
          <w:ilvl w:val="0"/>
          <w:numId w:val="18"/>
        </w:numPr>
        <w:jc w:val="both"/>
        <w:rPr>
          <w:rFonts w:ascii="Corbel" w:hAnsi="Corbel" w:cs="Arial"/>
          <w:i/>
        </w:rPr>
      </w:pPr>
      <w:r w:rsidRPr="00632771">
        <w:rPr>
          <w:rFonts w:ascii="Corbel" w:hAnsi="Corbel" w:cs="Arial"/>
          <w:i/>
        </w:rPr>
        <w:t>Prerađivačka industrija</w:t>
      </w:r>
    </w:p>
    <w:p w:rsidR="005D6E98" w:rsidRPr="00632771" w:rsidRDefault="005D6E98" w:rsidP="005D6E98">
      <w:pPr>
        <w:pStyle w:val="Odlomakpopisa"/>
        <w:numPr>
          <w:ilvl w:val="0"/>
          <w:numId w:val="18"/>
        </w:numPr>
        <w:jc w:val="both"/>
        <w:rPr>
          <w:rFonts w:ascii="Corbel" w:hAnsi="Corbel" w:cs="Arial"/>
          <w:i/>
        </w:rPr>
      </w:pPr>
      <w:r w:rsidRPr="00632771">
        <w:rPr>
          <w:rFonts w:ascii="Corbel" w:hAnsi="Corbel" w:cs="Arial"/>
          <w:i/>
        </w:rPr>
        <w:t>Građevinarstvo</w:t>
      </w:r>
    </w:p>
    <w:p w:rsidR="005D6E98" w:rsidRPr="00632771" w:rsidRDefault="005D6E98" w:rsidP="005D6E98">
      <w:pPr>
        <w:pStyle w:val="Odlomakpopisa"/>
        <w:numPr>
          <w:ilvl w:val="0"/>
          <w:numId w:val="18"/>
        </w:numPr>
        <w:jc w:val="both"/>
        <w:rPr>
          <w:rFonts w:ascii="Corbel" w:hAnsi="Corbel" w:cs="Arial"/>
          <w:i/>
        </w:rPr>
      </w:pPr>
      <w:r w:rsidRPr="00632771">
        <w:rPr>
          <w:rFonts w:ascii="Corbel" w:hAnsi="Corbel" w:cs="Arial"/>
          <w:i/>
        </w:rPr>
        <w:t>Trgovina na veliko i na malo</w:t>
      </w:r>
    </w:p>
    <w:p w:rsidR="005D6E98" w:rsidRPr="00632771" w:rsidRDefault="005D6E98" w:rsidP="005D6E98">
      <w:pPr>
        <w:pStyle w:val="Odlomakpopisa"/>
        <w:numPr>
          <w:ilvl w:val="0"/>
          <w:numId w:val="18"/>
        </w:numPr>
        <w:jc w:val="both"/>
        <w:rPr>
          <w:rFonts w:ascii="Corbel" w:hAnsi="Corbel" w:cs="Arial"/>
          <w:i/>
        </w:rPr>
      </w:pPr>
      <w:r w:rsidRPr="00632771">
        <w:rPr>
          <w:rFonts w:ascii="Corbel" w:hAnsi="Corbel" w:cs="Arial"/>
          <w:i/>
        </w:rPr>
        <w:t>Poslovanje nekretninama</w:t>
      </w:r>
    </w:p>
    <w:p w:rsidR="003D037A" w:rsidRPr="00632771" w:rsidRDefault="005D6E98" w:rsidP="005D6E98">
      <w:pPr>
        <w:pStyle w:val="Odlomakpopisa"/>
        <w:numPr>
          <w:ilvl w:val="0"/>
          <w:numId w:val="18"/>
        </w:numPr>
        <w:jc w:val="both"/>
        <w:rPr>
          <w:rFonts w:ascii="Corbel" w:hAnsi="Corbel" w:cs="Arial"/>
          <w:i/>
        </w:rPr>
      </w:pPr>
      <w:r w:rsidRPr="00632771">
        <w:rPr>
          <w:rFonts w:ascii="Corbel" w:hAnsi="Corbel" w:cs="Arial"/>
          <w:i/>
        </w:rPr>
        <w:t>Financijske djelatnosti i djelatnosti osiguranja</w:t>
      </w:r>
    </w:p>
    <w:p w:rsidR="005D6E98" w:rsidRPr="00632771" w:rsidRDefault="00393428" w:rsidP="003D0416">
      <w:pPr>
        <w:jc w:val="both"/>
        <w:rPr>
          <w:rFonts w:ascii="Corbel" w:hAnsi="Corbel" w:cs="Arial"/>
          <w:b/>
        </w:rPr>
      </w:pPr>
      <w:r w:rsidRPr="00632771">
        <w:rPr>
          <w:rFonts w:ascii="Corbel" w:hAnsi="Corbel" w:cs="Arial"/>
          <w:b/>
        </w:rPr>
        <w:t xml:space="preserve">Investicije u 2007. veće su od investicija u 2001. za 128,5% što  ukazuje na </w:t>
      </w:r>
      <w:r w:rsidR="004A7110" w:rsidRPr="00632771">
        <w:rPr>
          <w:rFonts w:ascii="Corbel" w:hAnsi="Corbel" w:cs="Arial"/>
          <w:b/>
        </w:rPr>
        <w:t>povećanje</w:t>
      </w:r>
      <w:r w:rsidRPr="00632771">
        <w:rPr>
          <w:rFonts w:ascii="Corbel" w:hAnsi="Corbel" w:cs="Arial"/>
          <w:b/>
        </w:rPr>
        <w:t xml:space="preserve"> inve</w:t>
      </w:r>
      <w:r w:rsidR="004A7110" w:rsidRPr="00632771">
        <w:rPr>
          <w:rFonts w:ascii="Corbel" w:hAnsi="Corbel" w:cs="Arial"/>
          <w:b/>
        </w:rPr>
        <w:t>sticijskih</w:t>
      </w:r>
      <w:r w:rsidR="004D5463" w:rsidRPr="00632771">
        <w:rPr>
          <w:rFonts w:ascii="Corbel" w:hAnsi="Corbel" w:cs="Arial"/>
          <w:b/>
        </w:rPr>
        <w:t xml:space="preserve"> kapacitete investitora</w:t>
      </w:r>
      <w:r w:rsidR="004A7110" w:rsidRPr="00632771">
        <w:rPr>
          <w:rFonts w:ascii="Corbel" w:hAnsi="Corbel" w:cs="Arial"/>
          <w:b/>
        </w:rPr>
        <w:t xml:space="preserve"> u tom razdoblju</w:t>
      </w:r>
      <w:r w:rsidRPr="00632771">
        <w:rPr>
          <w:rFonts w:ascii="Corbel" w:hAnsi="Corbel" w:cs="Arial"/>
        </w:rPr>
        <w:t xml:space="preserve">. </w:t>
      </w:r>
      <w:r w:rsidR="004A7110" w:rsidRPr="00632771">
        <w:rPr>
          <w:rFonts w:ascii="Corbel" w:hAnsi="Corbel" w:cs="Arial"/>
        </w:rPr>
        <w:t>A</w:t>
      </w:r>
      <w:r w:rsidRPr="00632771">
        <w:rPr>
          <w:rFonts w:ascii="Corbel" w:hAnsi="Corbel" w:cs="Arial"/>
        </w:rPr>
        <w:t>ko pogledamo koji su sektori rasli (rasli su i drugi sektori koji nisu prikazani</w:t>
      </w:r>
      <w:r w:rsidR="004D5463" w:rsidRPr="00632771">
        <w:rPr>
          <w:rFonts w:ascii="Corbel" w:hAnsi="Corbel" w:cs="Arial"/>
        </w:rPr>
        <w:t xml:space="preserve"> </w:t>
      </w:r>
      <w:r w:rsidRPr="00632771">
        <w:rPr>
          <w:rFonts w:ascii="Corbel" w:hAnsi="Corbel" w:cs="Arial"/>
        </w:rPr>
        <w:t xml:space="preserve">ovdje) možemo zaključiti kako je </w:t>
      </w:r>
      <w:r w:rsidR="004D5463" w:rsidRPr="00632771">
        <w:rPr>
          <w:rFonts w:ascii="Corbel" w:hAnsi="Corbel" w:cs="Arial"/>
        </w:rPr>
        <w:t xml:space="preserve">ukupni </w:t>
      </w:r>
      <w:r w:rsidRPr="00632771">
        <w:rPr>
          <w:rFonts w:ascii="Corbel" w:hAnsi="Corbel" w:cs="Arial"/>
        </w:rPr>
        <w:t>rast</w:t>
      </w:r>
      <w:r w:rsidR="004D5463" w:rsidRPr="00632771">
        <w:rPr>
          <w:rFonts w:ascii="Corbel" w:hAnsi="Corbel" w:cs="Arial"/>
        </w:rPr>
        <w:t xml:space="preserve"> investicija u Zadarskoj županije</w:t>
      </w:r>
      <w:r w:rsidRPr="00632771">
        <w:rPr>
          <w:rFonts w:ascii="Corbel" w:hAnsi="Corbel" w:cs="Arial"/>
        </w:rPr>
        <w:t xml:space="preserve"> ponajviše </w:t>
      </w:r>
      <w:r w:rsidR="004D5463" w:rsidRPr="00632771">
        <w:rPr>
          <w:rFonts w:ascii="Corbel" w:hAnsi="Corbel" w:cs="Arial"/>
          <w:b/>
        </w:rPr>
        <w:t>uzrok rasta</w:t>
      </w:r>
      <w:r w:rsidRPr="00632771">
        <w:rPr>
          <w:rFonts w:ascii="Corbel" w:hAnsi="Corbel" w:cs="Arial"/>
          <w:b/>
        </w:rPr>
        <w:t xml:space="preserve"> investicija u djelatnosti pružanja usluga smještaja i hrane</w:t>
      </w:r>
      <w:r w:rsidR="004D5463" w:rsidRPr="00632771">
        <w:rPr>
          <w:rFonts w:ascii="Corbel" w:hAnsi="Corbel" w:cs="Arial"/>
          <w:b/>
        </w:rPr>
        <w:t xml:space="preserve"> (porast od čak 1000%)</w:t>
      </w:r>
      <w:r w:rsidR="004A7110" w:rsidRPr="00632771">
        <w:rPr>
          <w:rFonts w:ascii="Corbel" w:hAnsi="Corbel" w:cs="Arial"/>
        </w:rPr>
        <w:t>,</w:t>
      </w:r>
      <w:r w:rsidRPr="00632771">
        <w:rPr>
          <w:rFonts w:ascii="Corbel" w:hAnsi="Corbel" w:cs="Arial"/>
        </w:rPr>
        <w:t xml:space="preserve"> </w:t>
      </w:r>
      <w:r w:rsidR="004A7110" w:rsidRPr="00632771">
        <w:rPr>
          <w:rFonts w:ascii="Corbel" w:hAnsi="Corbel" w:cs="Arial"/>
        </w:rPr>
        <w:t>te</w:t>
      </w:r>
      <w:r w:rsidRPr="00632771">
        <w:rPr>
          <w:rFonts w:ascii="Corbel" w:hAnsi="Corbel" w:cs="Arial"/>
        </w:rPr>
        <w:t xml:space="preserve"> u</w:t>
      </w:r>
      <w:r w:rsidRPr="00632771">
        <w:rPr>
          <w:rFonts w:ascii="Corbel" w:hAnsi="Corbel" w:cs="Arial"/>
          <w:b/>
        </w:rPr>
        <w:t xml:space="preserve"> građevinarstvu (231%) </w:t>
      </w:r>
      <w:r w:rsidR="004A7110" w:rsidRPr="00632771">
        <w:rPr>
          <w:rFonts w:ascii="Corbel" w:hAnsi="Corbel" w:cs="Arial"/>
          <w:b/>
        </w:rPr>
        <w:t>i</w:t>
      </w:r>
      <w:r w:rsidRPr="00632771">
        <w:rPr>
          <w:rFonts w:ascii="Corbel" w:hAnsi="Corbel" w:cs="Arial"/>
          <w:b/>
        </w:rPr>
        <w:t xml:space="preserve"> u prerađivačkoj industriji (141 %).</w:t>
      </w:r>
    </w:p>
    <w:p w:rsidR="004D5463" w:rsidRDefault="004D5463" w:rsidP="004D5463">
      <w:pPr>
        <w:pStyle w:val="Opisslike"/>
        <w:keepNext/>
        <w:jc w:val="both"/>
      </w:pPr>
      <w:bookmarkStart w:id="57" w:name="_Toc351538495"/>
      <w:r>
        <w:t xml:space="preserve">Slika </w:t>
      </w:r>
      <w:fldSimple w:instr=" SEQ Slika \* ARABIC ">
        <w:r w:rsidR="001E7A09">
          <w:rPr>
            <w:noProof/>
          </w:rPr>
          <w:t>32</w:t>
        </w:r>
      </w:fldSimple>
      <w:r>
        <w:t xml:space="preserve">.: Promjena investicija u 2007. godini u odnosu na 2001. godinu </w:t>
      </w:r>
      <w:r w:rsidR="00F51FEB">
        <w:t>za Zadarsku županiju</w:t>
      </w:r>
      <w:bookmarkEnd w:id="57"/>
    </w:p>
    <w:p w:rsidR="005D6E98" w:rsidRDefault="004D5463" w:rsidP="004D5463">
      <w:pPr>
        <w:spacing w:after="0"/>
        <w:jc w:val="both"/>
        <w:rPr>
          <w:rFonts w:ascii="Times New Roman" w:hAnsi="Times New Roman" w:cs="Arial"/>
          <w:b/>
        </w:rPr>
      </w:pPr>
      <w:r>
        <w:rPr>
          <w:noProof/>
          <w:lang w:eastAsia="hr-HR"/>
        </w:rPr>
        <w:drawing>
          <wp:inline distT="0" distB="0" distL="0" distR="0" wp14:anchorId="37F6F6FF" wp14:editId="163F0566">
            <wp:extent cx="5760720" cy="3287640"/>
            <wp:effectExtent l="0" t="0" r="11430" b="27305"/>
            <wp:docPr id="32" name="Grafikon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4D5463" w:rsidRPr="000A0B93" w:rsidRDefault="004D5463" w:rsidP="004D5463">
      <w:pPr>
        <w:spacing w:line="240" w:lineRule="auto"/>
        <w:rPr>
          <w:rFonts w:ascii="Times New Roman" w:eastAsia="Times New Roman" w:hAnsi="Times New Roman" w:cs="Times New Roman"/>
          <w:szCs w:val="24"/>
          <w:lang w:eastAsia="hr-HR"/>
        </w:rPr>
      </w:pPr>
      <w:r w:rsidRPr="000A0B93">
        <w:rPr>
          <w:rFonts w:ascii="Times New Roman" w:eastAsia="Times New Roman" w:hAnsi="Times New Roman" w:cs="Times New Roman"/>
          <w:szCs w:val="24"/>
          <w:lang w:eastAsia="hr-HR"/>
        </w:rPr>
        <w:t>Izvor: DZS, Priopćenja po godinama, obrada: ZADRA</w:t>
      </w:r>
    </w:p>
    <w:p w:rsidR="000E3D14" w:rsidRPr="00B37C59" w:rsidRDefault="0041452A" w:rsidP="00B37C59">
      <w:pPr>
        <w:pStyle w:val="Naslov1"/>
        <w:spacing w:after="240"/>
      </w:pPr>
      <w:bookmarkStart w:id="58" w:name="_Toc351539742"/>
      <w:r w:rsidRPr="00B37C59">
        <w:t xml:space="preserve">7. </w:t>
      </w:r>
      <w:r w:rsidR="000E3D14" w:rsidRPr="00B37C59">
        <w:t>Malo i srednje poduzetništvo</w:t>
      </w:r>
      <w:bookmarkEnd w:id="58"/>
    </w:p>
    <w:p w:rsidR="00CD526D" w:rsidRPr="00632771" w:rsidRDefault="00181249" w:rsidP="00CD526D">
      <w:pPr>
        <w:spacing w:after="120" w:line="340" w:lineRule="exact"/>
        <w:jc w:val="both"/>
        <w:rPr>
          <w:rFonts w:ascii="Corbel" w:hAnsi="Corbel"/>
        </w:rPr>
      </w:pPr>
      <w:r w:rsidRPr="00632771">
        <w:rPr>
          <w:rFonts w:ascii="Corbel" w:hAnsi="Corbel"/>
        </w:rPr>
        <w:t>Lokalne samouprave</w:t>
      </w:r>
      <w:r w:rsidR="00CD526D" w:rsidRPr="00632771">
        <w:rPr>
          <w:rFonts w:ascii="Corbel" w:hAnsi="Corbel"/>
        </w:rPr>
        <w:t xml:space="preserve"> su strukturno ovisne o poduzetništvu zbog mobilnosti kapitala i ovisnosti o poduzetničkim investicijama, ne samo kako bi pružili poslove i prihode lokalnom stanovništvu nego i zbog generiranja lokalnih javnih prihoda koji potom služe za pružanje javnih usluga, </w:t>
      </w:r>
      <w:r w:rsidR="00CD526D" w:rsidRPr="00632771">
        <w:rPr>
          <w:rFonts w:ascii="Corbel" w:hAnsi="Corbel"/>
          <w:b/>
        </w:rPr>
        <w:t>bez da se opterećuju stanovnici sa visokim porezima</w:t>
      </w:r>
      <w:r w:rsidR="00CD526D" w:rsidRPr="00632771">
        <w:rPr>
          <w:rFonts w:ascii="Corbel" w:hAnsi="Corbel"/>
        </w:rPr>
        <w:t xml:space="preserve"> </w:t>
      </w:r>
      <w:sdt>
        <w:sdtPr>
          <w:rPr>
            <w:rFonts w:ascii="Corbel" w:hAnsi="Corbel"/>
          </w:rPr>
          <w:id w:val="1926139"/>
          <w:citation/>
        </w:sdtPr>
        <w:sdtContent>
          <w:r w:rsidR="00CD526D" w:rsidRPr="00632771">
            <w:rPr>
              <w:rFonts w:ascii="Corbel" w:hAnsi="Corbel"/>
            </w:rPr>
            <w:fldChar w:fldCharType="begin"/>
          </w:r>
          <w:r w:rsidR="00CD526D" w:rsidRPr="00632771">
            <w:rPr>
              <w:rFonts w:ascii="Corbel" w:hAnsi="Corbel"/>
            </w:rPr>
            <w:instrText xml:space="preserve"> CITATION Wol96 \l 1050 </w:instrText>
          </w:r>
          <w:r w:rsidR="00CD526D" w:rsidRPr="00632771">
            <w:rPr>
              <w:rFonts w:ascii="Corbel" w:hAnsi="Corbel"/>
            </w:rPr>
            <w:fldChar w:fldCharType="separate"/>
          </w:r>
          <w:r w:rsidR="00CD526D" w:rsidRPr="00632771">
            <w:rPr>
              <w:rFonts w:ascii="Corbel" w:hAnsi="Corbel"/>
              <w:noProof/>
            </w:rPr>
            <w:t>(Wolman &amp; Spitzley, 1996)</w:t>
          </w:r>
          <w:r w:rsidR="00CD526D" w:rsidRPr="00632771">
            <w:rPr>
              <w:rFonts w:ascii="Corbel" w:hAnsi="Corbel"/>
            </w:rPr>
            <w:fldChar w:fldCharType="end"/>
          </w:r>
        </w:sdtContent>
      </w:sdt>
      <w:r w:rsidR="00CD526D" w:rsidRPr="00632771">
        <w:rPr>
          <w:rFonts w:ascii="Corbel" w:hAnsi="Corbel"/>
        </w:rPr>
        <w:t xml:space="preserve">. </w:t>
      </w:r>
      <w:r w:rsidR="00CD526D" w:rsidRPr="00632771">
        <w:rPr>
          <w:rFonts w:ascii="Corbel" w:hAnsi="Corbel" w:cs="Times New Roman"/>
          <w:color w:val="000000"/>
        </w:rPr>
        <w:t xml:space="preserve">U strategiji poduzetništva </w:t>
      </w:r>
      <w:r w:rsidR="00CD526D" w:rsidRPr="00632771">
        <w:rPr>
          <w:rFonts w:ascii="Corbel" w:hAnsi="Corbel" w:cs="Times New Roman"/>
          <w:color w:val="000000"/>
        </w:rPr>
        <w:lastRenderedPageBreak/>
        <w:t>svugdje u svijetu posebno se naglašava uloga malog i srednjeg poduzetništva i potreba potpore njihovog razvitka</w:t>
      </w:r>
      <w:r w:rsidR="00FE7DAB" w:rsidRPr="00632771">
        <w:rPr>
          <w:rFonts w:ascii="Corbel" w:hAnsi="Corbel" w:cs="Times New Roman"/>
          <w:color w:val="000000"/>
        </w:rPr>
        <w:t xml:space="preserve">. </w:t>
      </w:r>
      <w:r w:rsidR="00CD526D" w:rsidRPr="00632771">
        <w:rPr>
          <w:rFonts w:ascii="Corbel" w:hAnsi="Corbel" w:cs="Times New Roman"/>
          <w:color w:val="000000"/>
        </w:rPr>
        <w:t>Povoljno politi</w:t>
      </w:r>
      <w:r w:rsidR="00CD526D" w:rsidRPr="00632771">
        <w:rPr>
          <w:rFonts w:ascii="Corbel" w:hAnsi="Corbel" w:cs="Times"/>
          <w:color w:val="000000"/>
        </w:rPr>
        <w:t>č</w:t>
      </w:r>
      <w:r w:rsidR="00CD526D" w:rsidRPr="00632771">
        <w:rPr>
          <w:rFonts w:ascii="Corbel" w:hAnsi="Corbel" w:cs="Times New Roman"/>
          <w:color w:val="000000"/>
        </w:rPr>
        <w:t>ko okruženje i manje restriktivan regulatorni okvir mogu pomo</w:t>
      </w:r>
      <w:r w:rsidR="00CD526D" w:rsidRPr="00632771">
        <w:rPr>
          <w:rFonts w:ascii="Corbel" w:hAnsi="Corbel" w:cs="Times"/>
          <w:color w:val="000000"/>
        </w:rPr>
        <w:t>ć</w:t>
      </w:r>
      <w:r w:rsidR="00CD526D" w:rsidRPr="00632771">
        <w:rPr>
          <w:rFonts w:ascii="Corbel" w:hAnsi="Corbel" w:cs="Times New Roman"/>
          <w:color w:val="000000"/>
        </w:rPr>
        <w:t>i malim poduze</w:t>
      </w:r>
      <w:r w:rsidR="00CD526D" w:rsidRPr="00632771">
        <w:rPr>
          <w:rFonts w:ascii="Corbel" w:hAnsi="Corbel" w:cs="Times"/>
          <w:color w:val="000000"/>
        </w:rPr>
        <w:t>ć</w:t>
      </w:r>
      <w:r w:rsidR="00CD526D" w:rsidRPr="00632771">
        <w:rPr>
          <w:rFonts w:ascii="Corbel" w:hAnsi="Corbel" w:cs="Times New Roman"/>
          <w:color w:val="000000"/>
        </w:rPr>
        <w:t xml:space="preserve">ima na dugi rok, ali uvijek </w:t>
      </w:r>
      <w:r w:rsidR="00CD526D" w:rsidRPr="00632771">
        <w:rPr>
          <w:rFonts w:ascii="Corbel" w:hAnsi="Corbel" w:cs="Times"/>
          <w:color w:val="000000"/>
        </w:rPr>
        <w:t>ć</w:t>
      </w:r>
      <w:r w:rsidR="00CD526D" w:rsidRPr="00632771">
        <w:rPr>
          <w:rFonts w:ascii="Corbel" w:hAnsi="Corbel" w:cs="Times New Roman"/>
          <w:color w:val="000000"/>
        </w:rPr>
        <w:t>e ostati nesavršenosti u samom djelovanju slobodnog tržišta koje stavljaju mala poduze</w:t>
      </w:r>
      <w:r w:rsidR="00CD526D" w:rsidRPr="00632771">
        <w:rPr>
          <w:rFonts w:ascii="Corbel" w:hAnsi="Corbel" w:cs="Times"/>
          <w:color w:val="000000"/>
        </w:rPr>
        <w:t>ć</w:t>
      </w:r>
      <w:r w:rsidR="00CD526D" w:rsidRPr="00632771">
        <w:rPr>
          <w:rFonts w:ascii="Corbel" w:hAnsi="Corbel" w:cs="Times New Roman"/>
          <w:color w:val="000000"/>
        </w:rPr>
        <w:t>a u podre</w:t>
      </w:r>
      <w:r w:rsidR="00CD526D" w:rsidRPr="00632771">
        <w:rPr>
          <w:rFonts w:ascii="Corbel" w:hAnsi="Corbel" w:cs="Times"/>
          <w:color w:val="000000"/>
        </w:rPr>
        <w:t>đ</w:t>
      </w:r>
      <w:r w:rsidR="00CD526D" w:rsidRPr="00632771">
        <w:rPr>
          <w:rFonts w:ascii="Corbel" w:hAnsi="Corbel" w:cs="Times New Roman"/>
          <w:color w:val="000000"/>
        </w:rPr>
        <w:t xml:space="preserve">eni položaj. </w:t>
      </w:r>
      <w:r w:rsidR="00CD526D" w:rsidRPr="00632771">
        <w:rPr>
          <w:rFonts w:ascii="Corbel" w:hAnsi="Corbel" w:cs="Times New Roman"/>
          <w:b/>
          <w:color w:val="000000"/>
          <w:u w:val="single"/>
        </w:rPr>
        <w:t>Produktivnost, a ne prirodni resursi, odre</w:t>
      </w:r>
      <w:r w:rsidR="00CD526D" w:rsidRPr="00632771">
        <w:rPr>
          <w:rFonts w:ascii="Corbel" w:hAnsi="Corbel" w:cs="Times"/>
          <w:b/>
          <w:color w:val="000000"/>
          <w:u w:val="single"/>
        </w:rPr>
        <w:t>đ</w:t>
      </w:r>
      <w:r w:rsidR="00CD526D" w:rsidRPr="00632771">
        <w:rPr>
          <w:rFonts w:ascii="Corbel" w:hAnsi="Corbel" w:cs="Times New Roman"/>
          <w:b/>
          <w:color w:val="000000"/>
          <w:u w:val="single"/>
        </w:rPr>
        <w:t>uje prosperitet nacije</w:t>
      </w:r>
      <w:r w:rsidR="00CD526D" w:rsidRPr="00632771">
        <w:rPr>
          <w:rFonts w:ascii="Corbel" w:hAnsi="Corbel" w:cs="Times New Roman"/>
          <w:color w:val="000000"/>
        </w:rPr>
        <w:t>. Spoznaju</w:t>
      </w:r>
      <w:r w:rsidR="00CD526D" w:rsidRPr="00632771">
        <w:rPr>
          <w:rFonts w:ascii="Corbel" w:hAnsi="Corbel" w:cs="Times"/>
          <w:color w:val="000000"/>
        </w:rPr>
        <w:t>ć</w:t>
      </w:r>
      <w:r w:rsidR="00CD526D" w:rsidRPr="00632771">
        <w:rPr>
          <w:rFonts w:ascii="Corbel" w:hAnsi="Corbel" w:cs="Times New Roman"/>
          <w:color w:val="000000"/>
        </w:rPr>
        <w:t xml:space="preserve">i to, </w:t>
      </w:r>
      <w:r w:rsidR="003917FD" w:rsidRPr="00632771">
        <w:rPr>
          <w:rFonts w:ascii="Corbel" w:hAnsi="Corbel" w:cs="Times New Roman"/>
          <w:color w:val="000000"/>
        </w:rPr>
        <w:t>lokalne zajednice</w:t>
      </w:r>
      <w:r w:rsidR="00CD526D" w:rsidRPr="00632771">
        <w:rPr>
          <w:rFonts w:ascii="Corbel" w:hAnsi="Corbel" w:cs="Times New Roman"/>
          <w:color w:val="000000"/>
        </w:rPr>
        <w:t xml:space="preserve"> trebaju težiti stvaranju okruženja koje poti</w:t>
      </w:r>
      <w:r w:rsidR="00CD526D" w:rsidRPr="00632771">
        <w:rPr>
          <w:rFonts w:ascii="Corbel" w:hAnsi="Corbel" w:cs="Times"/>
          <w:color w:val="000000"/>
        </w:rPr>
        <w:t>č</w:t>
      </w:r>
      <w:r w:rsidR="00CD526D" w:rsidRPr="00632771">
        <w:rPr>
          <w:rFonts w:ascii="Corbel" w:hAnsi="Corbel" w:cs="Times New Roman"/>
          <w:color w:val="000000"/>
        </w:rPr>
        <w:t xml:space="preserve">e rast proizvodnosti. </w:t>
      </w:r>
      <w:sdt>
        <w:sdtPr>
          <w:rPr>
            <w:rFonts w:ascii="Corbel" w:hAnsi="Corbel" w:cs="Times New Roman"/>
            <w:color w:val="000000"/>
          </w:rPr>
          <w:id w:val="1373190"/>
          <w:citation/>
        </w:sdtPr>
        <w:sdtContent>
          <w:r w:rsidR="00CD526D" w:rsidRPr="00632771">
            <w:rPr>
              <w:rFonts w:ascii="Corbel" w:hAnsi="Corbel" w:cs="Times New Roman"/>
              <w:color w:val="000000"/>
            </w:rPr>
            <w:fldChar w:fldCharType="begin"/>
          </w:r>
          <w:r w:rsidR="00CD526D" w:rsidRPr="00632771">
            <w:rPr>
              <w:rFonts w:ascii="Corbel" w:hAnsi="Corbel" w:cs="Times New Roman"/>
              <w:color w:val="000000"/>
            </w:rPr>
            <w:instrText xml:space="preserve"> CITATION Mrn00 \l 1050 </w:instrText>
          </w:r>
          <w:r w:rsidR="00CD526D" w:rsidRPr="00632771">
            <w:rPr>
              <w:rFonts w:ascii="Corbel" w:hAnsi="Corbel" w:cs="Times New Roman"/>
              <w:color w:val="000000"/>
            </w:rPr>
            <w:fldChar w:fldCharType="separate"/>
          </w:r>
          <w:r w:rsidR="00CD526D" w:rsidRPr="00632771">
            <w:rPr>
              <w:rFonts w:ascii="Corbel" w:hAnsi="Corbel" w:cs="Times New Roman"/>
              <w:noProof/>
              <w:color w:val="000000"/>
            </w:rPr>
            <w:t>(Mrnjavac &amp; Pašalić, 2000)</w:t>
          </w:r>
          <w:r w:rsidR="00CD526D" w:rsidRPr="00632771">
            <w:rPr>
              <w:rFonts w:ascii="Corbel" w:hAnsi="Corbel" w:cs="Times New Roman"/>
              <w:color w:val="000000"/>
            </w:rPr>
            <w:fldChar w:fldCharType="end"/>
          </w:r>
        </w:sdtContent>
      </w:sdt>
      <w:r w:rsidR="00CD526D" w:rsidRPr="00632771">
        <w:rPr>
          <w:rFonts w:ascii="Corbel" w:hAnsi="Corbel" w:cs="Times New Roman"/>
          <w:color w:val="000000"/>
        </w:rPr>
        <w:t>.</w:t>
      </w:r>
    </w:p>
    <w:p w:rsidR="00CD526D" w:rsidRPr="00632771" w:rsidRDefault="00CD526D" w:rsidP="00CD526D">
      <w:pPr>
        <w:spacing w:after="120" w:line="340" w:lineRule="exact"/>
        <w:jc w:val="both"/>
        <w:rPr>
          <w:rFonts w:ascii="Corbel" w:hAnsi="Corbel"/>
        </w:rPr>
      </w:pPr>
      <w:r w:rsidRPr="00632771">
        <w:rPr>
          <w:rFonts w:ascii="Corbel" w:hAnsi="Corbel"/>
        </w:rPr>
        <w:t xml:space="preserve">Nekoliko je mehanizama kojima se strategija razvoja poduzetništva može ostvariti </w:t>
      </w:r>
    </w:p>
    <w:p w:rsidR="00CD526D" w:rsidRPr="00632771" w:rsidRDefault="00CD526D" w:rsidP="00CD526D">
      <w:pPr>
        <w:pStyle w:val="Odlomakpopisa"/>
        <w:numPr>
          <w:ilvl w:val="0"/>
          <w:numId w:val="20"/>
        </w:numPr>
        <w:spacing w:after="120" w:line="340" w:lineRule="exact"/>
        <w:jc w:val="both"/>
        <w:rPr>
          <w:rFonts w:ascii="Corbel" w:hAnsi="Corbel"/>
        </w:rPr>
      </w:pPr>
      <w:r w:rsidRPr="00632771">
        <w:rPr>
          <w:rFonts w:ascii="Corbel" w:hAnsi="Corbel"/>
        </w:rPr>
        <w:t xml:space="preserve">Centri za podršku i inovacije malom poduzetništvu </w:t>
      </w:r>
    </w:p>
    <w:p w:rsidR="00CD526D" w:rsidRPr="00632771" w:rsidRDefault="00CD526D" w:rsidP="00CD526D">
      <w:pPr>
        <w:pStyle w:val="Odlomakpopisa"/>
        <w:numPr>
          <w:ilvl w:val="0"/>
          <w:numId w:val="19"/>
        </w:numPr>
        <w:spacing w:after="120" w:line="340" w:lineRule="exact"/>
        <w:jc w:val="both"/>
        <w:rPr>
          <w:rFonts w:ascii="Corbel" w:hAnsi="Corbel"/>
        </w:rPr>
      </w:pPr>
      <w:r w:rsidRPr="00632771">
        <w:rPr>
          <w:rFonts w:ascii="Corbel" w:hAnsi="Corbel"/>
        </w:rPr>
        <w:t>Tehnološki i poslovni parkovi</w:t>
      </w:r>
    </w:p>
    <w:p w:rsidR="00FE7DAB" w:rsidRPr="00632771" w:rsidRDefault="00FE7DAB" w:rsidP="00CD526D">
      <w:pPr>
        <w:pStyle w:val="Odlomakpopisa"/>
        <w:numPr>
          <w:ilvl w:val="0"/>
          <w:numId w:val="19"/>
        </w:numPr>
        <w:spacing w:after="120" w:line="340" w:lineRule="exact"/>
        <w:jc w:val="both"/>
        <w:rPr>
          <w:rFonts w:ascii="Corbel" w:hAnsi="Corbel"/>
        </w:rPr>
      </w:pPr>
      <w:r w:rsidRPr="00632771">
        <w:rPr>
          <w:rFonts w:ascii="Corbel" w:hAnsi="Corbel"/>
        </w:rPr>
        <w:t>Poduzetnički inkubatori</w:t>
      </w:r>
    </w:p>
    <w:p w:rsidR="00CD526D" w:rsidRPr="00632771" w:rsidRDefault="00CD526D" w:rsidP="00CD526D">
      <w:pPr>
        <w:pStyle w:val="Odlomakpopisa"/>
        <w:numPr>
          <w:ilvl w:val="0"/>
          <w:numId w:val="19"/>
        </w:numPr>
        <w:spacing w:after="120" w:line="340" w:lineRule="exact"/>
        <w:jc w:val="both"/>
        <w:rPr>
          <w:rFonts w:ascii="Corbel" w:hAnsi="Corbel"/>
        </w:rPr>
      </w:pPr>
      <w:r w:rsidRPr="00632771">
        <w:rPr>
          <w:rFonts w:ascii="Corbel" w:hAnsi="Corbel"/>
        </w:rPr>
        <w:t>Informacijski centri za poduzetnike (“one-stop”)</w:t>
      </w:r>
    </w:p>
    <w:p w:rsidR="00CD526D" w:rsidRPr="00632771" w:rsidRDefault="00CD526D" w:rsidP="00CD526D">
      <w:pPr>
        <w:pStyle w:val="Odlomakpopisa"/>
        <w:numPr>
          <w:ilvl w:val="0"/>
          <w:numId w:val="19"/>
        </w:numPr>
        <w:spacing w:after="120" w:line="340" w:lineRule="exact"/>
        <w:jc w:val="both"/>
        <w:rPr>
          <w:rFonts w:ascii="Corbel" w:hAnsi="Corbel"/>
        </w:rPr>
      </w:pPr>
      <w:r w:rsidRPr="00632771">
        <w:rPr>
          <w:rFonts w:ascii="Corbel" w:hAnsi="Corbel"/>
        </w:rPr>
        <w:t>Programi za mikro poduzeća</w:t>
      </w:r>
    </w:p>
    <w:p w:rsidR="00FE7DAB" w:rsidRPr="00632771" w:rsidRDefault="003917FD" w:rsidP="00CD526D">
      <w:pPr>
        <w:pStyle w:val="Odlomakpopisa"/>
        <w:numPr>
          <w:ilvl w:val="0"/>
          <w:numId w:val="19"/>
        </w:numPr>
        <w:spacing w:after="120" w:line="340" w:lineRule="exact"/>
        <w:jc w:val="both"/>
        <w:rPr>
          <w:rFonts w:ascii="Corbel" w:hAnsi="Corbel"/>
        </w:rPr>
      </w:pPr>
      <w:r w:rsidRPr="00632771">
        <w:rPr>
          <w:rFonts w:ascii="Corbel" w:hAnsi="Corbel"/>
        </w:rPr>
        <w:t>P</w:t>
      </w:r>
      <w:r w:rsidR="00FE7DAB" w:rsidRPr="00632771">
        <w:rPr>
          <w:rFonts w:ascii="Corbel" w:hAnsi="Corbel"/>
        </w:rPr>
        <w:t>otpore istraživanju i razvoju</w:t>
      </w:r>
    </w:p>
    <w:p w:rsidR="00FE7DAB" w:rsidRPr="003E451C" w:rsidRDefault="003917FD" w:rsidP="00CD526D">
      <w:pPr>
        <w:pStyle w:val="Odlomakpopisa"/>
        <w:numPr>
          <w:ilvl w:val="0"/>
          <w:numId w:val="19"/>
        </w:numPr>
        <w:spacing w:after="120" w:line="340" w:lineRule="exact"/>
        <w:jc w:val="both"/>
        <w:rPr>
          <w:rFonts w:ascii="Times New Roman" w:hAnsi="Times New Roman"/>
        </w:rPr>
      </w:pPr>
      <w:r w:rsidRPr="00632771">
        <w:rPr>
          <w:rFonts w:ascii="Corbel" w:hAnsi="Corbel"/>
        </w:rPr>
        <w:t>S</w:t>
      </w:r>
      <w:r w:rsidR="00FE7DAB" w:rsidRPr="00632771">
        <w:rPr>
          <w:rFonts w:ascii="Corbel" w:hAnsi="Corbel"/>
        </w:rPr>
        <w:t>trategije zapošljavanja kreirane kako bi promovirale zapošljavanje kroz</w:t>
      </w:r>
      <w:r w:rsidR="00FE7DAB" w:rsidRPr="003E451C">
        <w:rPr>
          <w:rFonts w:ascii="Times New Roman" w:hAnsi="Times New Roman"/>
        </w:rPr>
        <w:t xml:space="preserve"> lokalno tržište</w:t>
      </w:r>
    </w:p>
    <w:p w:rsidR="00FE7DAB" w:rsidRPr="00632771" w:rsidRDefault="00FE7DAB" w:rsidP="003D0416">
      <w:pPr>
        <w:jc w:val="both"/>
        <w:rPr>
          <w:rFonts w:ascii="Corbel" w:hAnsi="Corbel"/>
        </w:rPr>
      </w:pPr>
      <w:r w:rsidRPr="00632771">
        <w:rPr>
          <w:rFonts w:ascii="Corbel" w:hAnsi="Corbel" w:cs="Arial"/>
          <w:b/>
        </w:rPr>
        <w:t xml:space="preserve">Kod ovakvih pristupa država i lokalna zajednica </w:t>
      </w:r>
      <w:r w:rsidRPr="00632771">
        <w:rPr>
          <w:rFonts w:ascii="Corbel" w:hAnsi="Corbel"/>
        </w:rPr>
        <w:t>preuzimaju aktivnu ulogu u razvoju i identificiranju tržišta ili firmi i pruža podršku u kreiranju ili širenju lokalnih firmi, često u početničkoj fazi. S druge strane imamo potpore koje direktno utječu na smanjenje troškova poslovanja poduzetnika, kao što su: porezne olakšice, financiranje kreditima, investicije u infrastrukturu, regulatorna politika, poduzetničke zone, prostorno planiranje. Takve potpore su se pokazale kao nedovoljne</w:t>
      </w:r>
      <w:r w:rsidR="0052723C" w:rsidRPr="00632771">
        <w:rPr>
          <w:rFonts w:ascii="Corbel" w:hAnsi="Corbel"/>
        </w:rPr>
        <w:t xml:space="preserve"> i manje efikasne</w:t>
      </w:r>
      <w:r w:rsidRPr="00632771">
        <w:rPr>
          <w:rFonts w:ascii="Corbel" w:hAnsi="Corbel"/>
        </w:rPr>
        <w:t xml:space="preserve"> </w:t>
      </w:r>
      <w:r w:rsidR="0052723C" w:rsidRPr="00632771">
        <w:rPr>
          <w:rFonts w:ascii="Corbel" w:hAnsi="Corbel"/>
        </w:rPr>
        <w:t xml:space="preserve">u </w:t>
      </w:r>
      <w:r w:rsidRPr="00632771">
        <w:rPr>
          <w:rFonts w:ascii="Corbel" w:hAnsi="Corbel"/>
        </w:rPr>
        <w:t xml:space="preserve">podizanju konkurentnosti </w:t>
      </w:r>
      <w:r w:rsidR="00632771">
        <w:rPr>
          <w:rFonts w:ascii="Corbel" w:hAnsi="Corbel"/>
        </w:rPr>
        <w:t>poduzetništva u odnosu na p</w:t>
      </w:r>
      <w:r w:rsidR="00C741FC" w:rsidRPr="00632771">
        <w:rPr>
          <w:rFonts w:ascii="Corbel" w:hAnsi="Corbel"/>
        </w:rPr>
        <w:t>rethodno spomenute potpore</w:t>
      </w:r>
      <w:r w:rsidR="00632771">
        <w:rPr>
          <w:rFonts w:ascii="Corbel" w:hAnsi="Corbel"/>
        </w:rPr>
        <w:t>.</w:t>
      </w:r>
    </w:p>
    <w:p w:rsidR="000E3D14" w:rsidRPr="00B37C59" w:rsidRDefault="0041452A" w:rsidP="00B37C59">
      <w:pPr>
        <w:pStyle w:val="Naslov2"/>
        <w:spacing w:after="120"/>
      </w:pPr>
      <w:bookmarkStart w:id="59" w:name="_Toc351539743"/>
      <w:r w:rsidRPr="00B37C59">
        <w:t xml:space="preserve">7.1. </w:t>
      </w:r>
      <w:r w:rsidR="00836F21" w:rsidRPr="00B37C59">
        <w:t>Temeljni financijski pokazatelji poduzetnika</w:t>
      </w:r>
      <w:bookmarkEnd w:id="59"/>
      <w:r w:rsidR="00836F21" w:rsidRPr="00B37C59">
        <w:t xml:space="preserve"> </w:t>
      </w:r>
    </w:p>
    <w:p w:rsidR="000E3D14" w:rsidRPr="00632771" w:rsidRDefault="0060658A" w:rsidP="003D0416">
      <w:pPr>
        <w:jc w:val="both"/>
        <w:rPr>
          <w:rFonts w:ascii="Corbel" w:hAnsi="Corbel" w:cs="Arial"/>
        </w:rPr>
      </w:pPr>
      <w:r w:rsidRPr="00632771">
        <w:rPr>
          <w:rFonts w:ascii="Corbel" w:hAnsi="Corbel" w:cs="Arial"/>
          <w:b/>
        </w:rPr>
        <w:t xml:space="preserve">Zadar je prema prvih 5 pokazatelja (bez neto dobiti) u prosjeku osmi „poduzetnički“ grad u RH. Ispred njega od manjih gradova </w:t>
      </w:r>
      <w:r w:rsidR="003A4EE7" w:rsidRPr="00632771">
        <w:rPr>
          <w:rFonts w:ascii="Corbel" w:hAnsi="Corbel" w:cs="Arial"/>
          <w:b/>
        </w:rPr>
        <w:t xml:space="preserve">su Pula na šestom i </w:t>
      </w:r>
      <w:r w:rsidRPr="00632771">
        <w:rPr>
          <w:rFonts w:ascii="Corbel" w:hAnsi="Corbel" w:cs="Arial"/>
          <w:b/>
        </w:rPr>
        <w:t>Varaždin na sedmom mjestu</w:t>
      </w:r>
      <w:r w:rsidR="003A4EE7" w:rsidRPr="00632771">
        <w:rPr>
          <w:rFonts w:ascii="Corbel" w:hAnsi="Corbel" w:cs="Arial"/>
        </w:rPr>
        <w:t>.</w:t>
      </w:r>
      <w:r w:rsidR="00313F96" w:rsidRPr="00632771">
        <w:rPr>
          <w:rFonts w:ascii="Corbel" w:hAnsi="Corbel" w:cs="Arial"/>
        </w:rPr>
        <w:t xml:space="preserve"> Nadalje, vidimo kako Zadar na svojih 1.824 poduzetnika</w:t>
      </w:r>
      <w:r w:rsidR="008E17D7" w:rsidRPr="00632771">
        <w:rPr>
          <w:rFonts w:ascii="Corbel" w:hAnsi="Corbel" w:cs="Arial"/>
        </w:rPr>
        <w:t xml:space="preserve"> ostvaruje prihod duplo manji od Varaždina iako Varaždin ima manje poduzetnika (1.519). </w:t>
      </w:r>
      <w:r w:rsidR="004E4170" w:rsidRPr="00632771">
        <w:rPr>
          <w:rFonts w:ascii="Corbel" w:hAnsi="Corbel" w:cs="Arial"/>
        </w:rPr>
        <w:t xml:space="preserve">S druge strane, </w:t>
      </w:r>
      <w:r w:rsidR="008E17D7" w:rsidRPr="00632771">
        <w:rPr>
          <w:rFonts w:ascii="Corbel" w:hAnsi="Corbel" w:cs="Arial"/>
        </w:rPr>
        <w:t xml:space="preserve">Pula ima više poduzetnika od Zadra i Varaždina i ostvaruje manji prihod od Varaždina, a veći od Zadra. </w:t>
      </w:r>
    </w:p>
    <w:p w:rsidR="00F51FEB" w:rsidRPr="00F51FEB" w:rsidRDefault="00F51FEB" w:rsidP="00F51FEB">
      <w:pPr>
        <w:pStyle w:val="Opisslike"/>
        <w:keepNext/>
      </w:pPr>
      <w:bookmarkStart w:id="60" w:name="_Toc351538418"/>
      <w:r>
        <w:t xml:space="preserve">Tablica </w:t>
      </w:r>
      <w:fldSimple w:instr=" SEQ Tablica \* ARABIC ">
        <w:r w:rsidR="00280AAE">
          <w:rPr>
            <w:noProof/>
          </w:rPr>
          <w:t>13</w:t>
        </w:r>
      </w:fldSimple>
      <w:r>
        <w:t>.: Financijski pokazatelji za 10 najvećih gradova RH u 2011. godini, iznosi u tisućama kuna</w:t>
      </w:r>
      <w:bookmarkEnd w:id="60"/>
    </w:p>
    <w:tbl>
      <w:tblPr>
        <w:tblW w:w="8832" w:type="dxa"/>
        <w:tblLook w:val="04A0" w:firstRow="1" w:lastRow="0" w:firstColumn="1" w:lastColumn="0" w:noHBand="0" w:noVBand="1"/>
      </w:tblPr>
      <w:tblGrid>
        <w:gridCol w:w="1217"/>
        <w:gridCol w:w="666"/>
        <w:gridCol w:w="596"/>
        <w:gridCol w:w="801"/>
        <w:gridCol w:w="596"/>
        <w:gridCol w:w="1116"/>
        <w:gridCol w:w="596"/>
        <w:gridCol w:w="1026"/>
        <w:gridCol w:w="596"/>
        <w:gridCol w:w="1026"/>
        <w:gridCol w:w="596"/>
      </w:tblGrid>
      <w:tr w:rsidR="00632771" w:rsidRPr="00E01919" w:rsidTr="00632771">
        <w:trPr>
          <w:trHeight w:val="235"/>
        </w:trPr>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 </w:t>
            </w:r>
          </w:p>
        </w:tc>
        <w:tc>
          <w:tcPr>
            <w:tcW w:w="1262" w:type="dxa"/>
            <w:gridSpan w:val="2"/>
            <w:tcBorders>
              <w:top w:val="single" w:sz="4" w:space="0" w:color="auto"/>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center"/>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Broj poduzetnika</w:t>
            </w:r>
          </w:p>
        </w:tc>
        <w:tc>
          <w:tcPr>
            <w:tcW w:w="1397" w:type="dxa"/>
            <w:gridSpan w:val="2"/>
            <w:tcBorders>
              <w:top w:val="single" w:sz="4" w:space="0" w:color="auto"/>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center"/>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Broj zaposlenih</w:t>
            </w:r>
          </w:p>
        </w:tc>
        <w:tc>
          <w:tcPr>
            <w:tcW w:w="1712" w:type="dxa"/>
            <w:gridSpan w:val="2"/>
            <w:tcBorders>
              <w:top w:val="single" w:sz="4" w:space="0" w:color="auto"/>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center"/>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Ukupni prihod</w:t>
            </w:r>
          </w:p>
        </w:tc>
        <w:tc>
          <w:tcPr>
            <w:tcW w:w="1622" w:type="dxa"/>
            <w:gridSpan w:val="2"/>
            <w:tcBorders>
              <w:top w:val="single" w:sz="4" w:space="0" w:color="auto"/>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center"/>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Dobit nakon poreza</w:t>
            </w:r>
          </w:p>
        </w:tc>
        <w:tc>
          <w:tcPr>
            <w:tcW w:w="1622" w:type="dxa"/>
            <w:gridSpan w:val="2"/>
            <w:tcBorders>
              <w:top w:val="single" w:sz="4" w:space="0" w:color="auto"/>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center"/>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Gubitak nakon poreza</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GRAD</w:t>
            </w:r>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Broj</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Rang</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Broj</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Rang</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U tis. Kn</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Rang</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U tis. Kn</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Rang</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U tis. Kn</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Rang</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 xml:space="preserve">GRAD </w:t>
            </w:r>
            <w:proofErr w:type="spellStart"/>
            <w:r w:rsidRPr="00E01919">
              <w:rPr>
                <w:rFonts w:ascii="Times New Roman" w:eastAsia="Times New Roman" w:hAnsi="Times New Roman" w:cs="Times New Roman"/>
                <w:color w:val="000000"/>
                <w:sz w:val="18"/>
                <w:szCs w:val="20"/>
                <w:lang w:eastAsia="hr-HR"/>
              </w:rPr>
              <w:t>ZAGREB</w:t>
            </w:r>
            <w:proofErr w:type="spellEnd"/>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32144</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339.072</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329.321.161</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16.501.983</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10.654.968</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proofErr w:type="spellStart"/>
            <w:r w:rsidRPr="00E01919">
              <w:rPr>
                <w:rFonts w:ascii="Times New Roman" w:eastAsia="Times New Roman" w:hAnsi="Times New Roman" w:cs="Times New Roman"/>
                <w:color w:val="000000"/>
                <w:sz w:val="18"/>
                <w:szCs w:val="20"/>
                <w:lang w:eastAsia="hr-HR"/>
              </w:rPr>
              <w:t>SPLIT</w:t>
            </w:r>
            <w:proofErr w:type="spellEnd"/>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6.237</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38.978</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23.589.517</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2.492.215</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1.193.610</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RIJEKA</w:t>
            </w:r>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4.100</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32.866</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21.093.072</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3.596.710</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682.474</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proofErr w:type="spellStart"/>
            <w:r w:rsidRPr="00E01919">
              <w:rPr>
                <w:rFonts w:ascii="Times New Roman" w:eastAsia="Times New Roman" w:hAnsi="Times New Roman" w:cs="Times New Roman"/>
                <w:color w:val="000000"/>
                <w:sz w:val="18"/>
                <w:szCs w:val="20"/>
                <w:lang w:eastAsia="hr-HR"/>
              </w:rPr>
              <w:t>OSIJEK</w:t>
            </w:r>
            <w:proofErr w:type="spellEnd"/>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2.209</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21.826</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4</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13.772.493</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4</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553.538</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568.417</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ZADAR</w:t>
            </w:r>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1.824</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13.303</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7</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6.326.677</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216.886</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13</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657.905</w:t>
            </w:r>
          </w:p>
        </w:tc>
        <w:tc>
          <w:tcPr>
            <w:tcW w:w="596" w:type="dxa"/>
            <w:tcBorders>
              <w:top w:val="nil"/>
              <w:left w:val="nil"/>
              <w:bottom w:val="single" w:sz="4" w:space="0" w:color="auto"/>
              <w:right w:val="double" w:sz="4" w:space="0" w:color="FF0000"/>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7</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proofErr w:type="spellStart"/>
            <w:r w:rsidRPr="00E01919">
              <w:rPr>
                <w:rFonts w:ascii="Times New Roman" w:eastAsia="Times New Roman" w:hAnsi="Times New Roman" w:cs="Times New Roman"/>
                <w:color w:val="000000"/>
                <w:sz w:val="18"/>
                <w:szCs w:val="20"/>
                <w:lang w:eastAsia="hr-HR"/>
              </w:rPr>
              <w:t>VARAŽDIN</w:t>
            </w:r>
            <w:proofErr w:type="spellEnd"/>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1.519</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8</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19.767</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12.831.500</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375.809</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7</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332.214</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10</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PULA</w:t>
            </w:r>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2.479</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4</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14.202</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7.550.625</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7</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318.011</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8</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1.034.414</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proofErr w:type="spellStart"/>
            <w:r w:rsidRPr="00E01919">
              <w:rPr>
                <w:rFonts w:ascii="Times New Roman" w:eastAsia="Times New Roman" w:hAnsi="Times New Roman" w:cs="Times New Roman"/>
                <w:color w:val="000000"/>
                <w:sz w:val="18"/>
                <w:szCs w:val="20"/>
                <w:lang w:eastAsia="hr-HR"/>
              </w:rPr>
              <w:t>KARLOVAC</w:t>
            </w:r>
            <w:proofErr w:type="spellEnd"/>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1.021</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11</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9.535</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12</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5.757.089</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10</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585.845</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5</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124.910</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27</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proofErr w:type="spellStart"/>
            <w:r w:rsidRPr="00E01919">
              <w:rPr>
                <w:rFonts w:ascii="Times New Roman" w:eastAsia="Times New Roman" w:hAnsi="Times New Roman" w:cs="Times New Roman"/>
                <w:color w:val="000000"/>
                <w:sz w:val="18"/>
                <w:szCs w:val="20"/>
                <w:lang w:eastAsia="hr-HR"/>
              </w:rPr>
              <w:t>ŠIBENIK</w:t>
            </w:r>
            <w:proofErr w:type="spellEnd"/>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977</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14</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6.582</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17</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4.004.781</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18</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89.998</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33</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254.506</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13</w:t>
            </w:r>
          </w:p>
        </w:tc>
      </w:tr>
      <w:tr w:rsidR="00632771" w:rsidRPr="00E01919" w:rsidTr="00632771">
        <w:trPr>
          <w:trHeight w:val="235"/>
        </w:trPr>
        <w:tc>
          <w:tcPr>
            <w:tcW w:w="1217" w:type="dxa"/>
            <w:tcBorders>
              <w:top w:val="nil"/>
              <w:left w:val="single" w:sz="4" w:space="0" w:color="auto"/>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VELIKA GORICA</w:t>
            </w:r>
          </w:p>
        </w:tc>
        <w:tc>
          <w:tcPr>
            <w:tcW w:w="66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1.245</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w:t>
            </w:r>
          </w:p>
        </w:tc>
        <w:tc>
          <w:tcPr>
            <w:tcW w:w="801"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9.541</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11</w:t>
            </w:r>
          </w:p>
        </w:tc>
        <w:tc>
          <w:tcPr>
            <w:tcW w:w="111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9.300.166</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6</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227.588</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10</w:t>
            </w:r>
          </w:p>
        </w:tc>
        <w:tc>
          <w:tcPr>
            <w:tcW w:w="102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115.343</w:t>
            </w:r>
          </w:p>
        </w:tc>
        <w:tc>
          <w:tcPr>
            <w:tcW w:w="596" w:type="dxa"/>
            <w:tcBorders>
              <w:top w:val="nil"/>
              <w:left w:val="nil"/>
              <w:bottom w:val="single" w:sz="4" w:space="0" w:color="auto"/>
              <w:right w:val="single" w:sz="4" w:space="0" w:color="auto"/>
            </w:tcBorders>
            <w:shd w:val="clear" w:color="auto" w:fill="auto"/>
            <w:noWrap/>
            <w:vAlign w:val="bottom"/>
            <w:hideMark/>
          </w:tcPr>
          <w:p w:rsidR="00632771" w:rsidRPr="00E01919" w:rsidRDefault="00632771" w:rsidP="00F51FEB">
            <w:pPr>
              <w:spacing w:after="0" w:line="240" w:lineRule="auto"/>
              <w:jc w:val="right"/>
              <w:rPr>
                <w:rFonts w:ascii="Times New Roman" w:eastAsia="Times New Roman" w:hAnsi="Times New Roman" w:cs="Times New Roman"/>
                <w:color w:val="000000"/>
                <w:sz w:val="18"/>
                <w:szCs w:val="20"/>
                <w:lang w:eastAsia="hr-HR"/>
              </w:rPr>
            </w:pPr>
            <w:r w:rsidRPr="00E01919">
              <w:rPr>
                <w:rFonts w:ascii="Times New Roman" w:eastAsia="Times New Roman" w:hAnsi="Times New Roman" w:cs="Times New Roman"/>
                <w:color w:val="000000"/>
                <w:sz w:val="18"/>
                <w:szCs w:val="20"/>
                <w:lang w:eastAsia="hr-HR"/>
              </w:rPr>
              <w:t>28</w:t>
            </w:r>
          </w:p>
        </w:tc>
      </w:tr>
    </w:tbl>
    <w:p w:rsidR="00567986" w:rsidRPr="0060658A" w:rsidRDefault="0060658A" w:rsidP="003D0416">
      <w:pPr>
        <w:jc w:val="both"/>
        <w:rPr>
          <w:rFonts w:ascii="Times New Roman" w:hAnsi="Times New Roman" w:cs="Arial"/>
        </w:rPr>
      </w:pPr>
      <w:r w:rsidRPr="0060658A">
        <w:rPr>
          <w:rFonts w:ascii="Times New Roman" w:hAnsi="Times New Roman" w:cs="Arial"/>
        </w:rPr>
        <w:t>Izvor: FINA, 2012</w:t>
      </w:r>
    </w:p>
    <w:p w:rsidR="000155A8" w:rsidRPr="00632771" w:rsidRDefault="00536045" w:rsidP="000155A8">
      <w:pPr>
        <w:jc w:val="both"/>
        <w:rPr>
          <w:rFonts w:ascii="Corbel" w:hAnsi="Corbel" w:cs="Arial"/>
          <w:b/>
        </w:rPr>
      </w:pPr>
      <w:r w:rsidRPr="00632771">
        <w:rPr>
          <w:rFonts w:ascii="Corbel" w:hAnsi="Corbel" w:cs="Arial"/>
        </w:rPr>
        <w:lastRenderedPageBreak/>
        <w:t xml:space="preserve">Isto vrijedi i za broj zaposlenih. </w:t>
      </w:r>
      <w:r w:rsidRPr="00632771">
        <w:rPr>
          <w:rFonts w:ascii="Corbel" w:hAnsi="Corbel" w:cs="Arial"/>
          <w:b/>
        </w:rPr>
        <w:t xml:space="preserve">Varaždin ima manje poduzeća, a više zaposlenih od Zadra i od Pule. </w:t>
      </w:r>
      <w:r w:rsidR="00014612" w:rsidRPr="00632771">
        <w:rPr>
          <w:rFonts w:ascii="Corbel" w:hAnsi="Corbel" w:cs="Arial"/>
        </w:rPr>
        <w:t>Na sljedećoj slici je prikaz broja zaposlenih po poduzetniku. Ovaj pokazatelj nam govori koliko su poduzeća smještena u nekom gradu ili regiji sposobna generirati zaposlenost.</w:t>
      </w:r>
      <w:r w:rsidR="00014612" w:rsidRPr="00632771">
        <w:rPr>
          <w:rFonts w:ascii="Corbel" w:hAnsi="Corbel" w:cs="Arial"/>
          <w:b/>
        </w:rPr>
        <w:t xml:space="preserve"> </w:t>
      </w:r>
      <w:r w:rsidR="000155A8" w:rsidRPr="00632771">
        <w:rPr>
          <w:rFonts w:ascii="Corbel" w:hAnsi="Corbel" w:cs="Arial"/>
          <w:b/>
        </w:rPr>
        <w:t>Varaždin ima najveći broj zaposlenih na broj poduzeća od svih gradova u RH, dok</w:t>
      </w:r>
      <w:r w:rsidR="005046C4" w:rsidRPr="00632771">
        <w:rPr>
          <w:rFonts w:ascii="Corbel" w:hAnsi="Corbel" w:cs="Arial"/>
          <w:b/>
        </w:rPr>
        <w:t xml:space="preserve"> Pula i Split imaju najmanje</w:t>
      </w:r>
      <w:r w:rsidR="00077C56" w:rsidRPr="00632771">
        <w:rPr>
          <w:rFonts w:ascii="Corbel" w:hAnsi="Corbel" w:cs="Arial"/>
          <w:b/>
        </w:rPr>
        <w:t xml:space="preserve">. </w:t>
      </w:r>
    </w:p>
    <w:p w:rsidR="000155A8" w:rsidRDefault="000155A8" w:rsidP="000155A8">
      <w:pPr>
        <w:pStyle w:val="Opisslike"/>
        <w:keepNext/>
      </w:pPr>
      <w:bookmarkStart w:id="61" w:name="_Toc351538496"/>
      <w:r>
        <w:t xml:space="preserve">Slika </w:t>
      </w:r>
      <w:fldSimple w:instr=" SEQ Slika \* ARABIC ">
        <w:r w:rsidR="001E7A09">
          <w:rPr>
            <w:noProof/>
          </w:rPr>
          <w:t>33</w:t>
        </w:r>
      </w:fldSimple>
      <w:r>
        <w:t>.: Broj zaposlenih po poduzeću  za 10 najvećih gradova</w:t>
      </w:r>
      <w:bookmarkEnd w:id="61"/>
    </w:p>
    <w:p w:rsidR="000155A8" w:rsidRDefault="000155A8" w:rsidP="00781815">
      <w:pPr>
        <w:autoSpaceDE w:val="0"/>
        <w:autoSpaceDN w:val="0"/>
        <w:adjustRightInd w:val="0"/>
        <w:spacing w:after="0" w:line="240" w:lineRule="auto"/>
        <w:rPr>
          <w:rFonts w:ascii="Times New Roman" w:hAnsi="Times New Roman" w:cs="Arial"/>
          <w:b/>
        </w:rPr>
      </w:pPr>
      <w:r>
        <w:rPr>
          <w:noProof/>
          <w:lang w:eastAsia="hr-HR"/>
        </w:rPr>
        <w:drawing>
          <wp:inline distT="0" distB="0" distL="0" distR="0" wp14:anchorId="49B6DB14" wp14:editId="06FF79A4">
            <wp:extent cx="4962525" cy="2619375"/>
            <wp:effectExtent l="0" t="0" r="9525" b="9525"/>
            <wp:docPr id="31" name="Grafikon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155A8" w:rsidRPr="0060658A" w:rsidRDefault="000155A8" w:rsidP="000155A8">
      <w:pPr>
        <w:jc w:val="both"/>
        <w:rPr>
          <w:rFonts w:ascii="Times New Roman" w:hAnsi="Times New Roman" w:cs="Arial"/>
        </w:rPr>
      </w:pPr>
      <w:r w:rsidRPr="0060658A">
        <w:rPr>
          <w:rFonts w:ascii="Times New Roman" w:hAnsi="Times New Roman" w:cs="Arial"/>
        </w:rPr>
        <w:t>Izvor: FINA, 2012</w:t>
      </w:r>
    </w:p>
    <w:p w:rsidR="000155A8" w:rsidRPr="00632771" w:rsidRDefault="00EA4BA3" w:rsidP="00632771">
      <w:pPr>
        <w:autoSpaceDE w:val="0"/>
        <w:autoSpaceDN w:val="0"/>
        <w:adjustRightInd w:val="0"/>
        <w:spacing w:after="0" w:line="240" w:lineRule="auto"/>
        <w:jc w:val="both"/>
        <w:rPr>
          <w:rFonts w:ascii="Corbel" w:hAnsi="Corbel" w:cs="Arial"/>
        </w:rPr>
      </w:pPr>
      <w:r w:rsidRPr="00632771">
        <w:rPr>
          <w:rFonts w:ascii="Corbel" w:hAnsi="Corbel" w:cs="Arial"/>
          <w:b/>
        </w:rPr>
        <w:t>U razdoblju 2001. do 2008. godine broj poduzetnika u Zadru je rastao po prosječnoj godišnjoj stopi od 15,3% (više od RH prosjeka)</w:t>
      </w:r>
      <w:r w:rsidR="007F5B47" w:rsidRPr="00632771">
        <w:rPr>
          <w:rFonts w:ascii="Corbel" w:hAnsi="Corbel" w:cs="Arial"/>
        </w:rPr>
        <w:t xml:space="preserve">, a broj zaposlenih kod poduzetnika po stopi od 13,74% što je također </w:t>
      </w:r>
      <w:r w:rsidR="007F5B47" w:rsidRPr="00632771">
        <w:rPr>
          <w:rFonts w:ascii="Corbel" w:hAnsi="Corbel" w:cs="Arial"/>
          <w:b/>
        </w:rPr>
        <w:t>značajno više od RH prosjeka</w:t>
      </w:r>
      <w:r w:rsidR="00123D8B" w:rsidRPr="00632771">
        <w:rPr>
          <w:rFonts w:ascii="Corbel" w:hAnsi="Corbel" w:cs="Arial"/>
        </w:rPr>
        <w:t xml:space="preserve">. Nakon 2008. godine trend se zaustavlja i dolazi do stagnacije (pad prihoda, zaposlenosti, dobiti, itd.). </w:t>
      </w:r>
      <w:r w:rsidRPr="00632771">
        <w:rPr>
          <w:rFonts w:ascii="Corbel" w:hAnsi="Corbel" w:cs="Arial"/>
        </w:rPr>
        <w:t xml:space="preserve"> </w:t>
      </w:r>
      <w:r w:rsidR="00123D8B" w:rsidRPr="00632771">
        <w:rPr>
          <w:rFonts w:ascii="Corbel" w:hAnsi="Corbel" w:cs="Arial"/>
          <w:b/>
        </w:rPr>
        <w:t>M</w:t>
      </w:r>
      <w:r w:rsidRPr="00632771">
        <w:rPr>
          <w:rFonts w:ascii="Corbel" w:hAnsi="Corbel" w:cs="Arial"/>
          <w:b/>
        </w:rPr>
        <w:t xml:space="preserve">ožemo kazati kako se poduzetništvo solidno razvijalo do recesije, kada </w:t>
      </w:r>
      <w:r w:rsidR="007F5B47" w:rsidRPr="00632771">
        <w:rPr>
          <w:rFonts w:ascii="Corbel" w:hAnsi="Corbel" w:cs="Arial"/>
          <w:b/>
        </w:rPr>
        <w:t>se</w:t>
      </w:r>
      <w:r w:rsidRPr="00632771">
        <w:rPr>
          <w:rFonts w:ascii="Corbel" w:hAnsi="Corbel" w:cs="Arial"/>
          <w:b/>
        </w:rPr>
        <w:t xml:space="preserve"> rast </w:t>
      </w:r>
      <w:r w:rsidR="007F5B47" w:rsidRPr="00632771">
        <w:rPr>
          <w:rFonts w:ascii="Corbel" w:hAnsi="Corbel" w:cs="Arial"/>
          <w:b/>
        </w:rPr>
        <w:t>prekida</w:t>
      </w:r>
      <w:r w:rsidRPr="00632771">
        <w:rPr>
          <w:rFonts w:ascii="Corbel" w:hAnsi="Corbel" w:cs="Arial"/>
          <w:b/>
        </w:rPr>
        <w:t xml:space="preserve"> i Zadar ne </w:t>
      </w:r>
      <w:r w:rsidR="007F5B47" w:rsidRPr="00632771">
        <w:rPr>
          <w:rFonts w:ascii="Corbel" w:hAnsi="Corbel" w:cs="Arial"/>
          <w:b/>
        </w:rPr>
        <w:t>uspijeva</w:t>
      </w:r>
      <w:r w:rsidRPr="00632771">
        <w:rPr>
          <w:rFonts w:ascii="Corbel" w:hAnsi="Corbel" w:cs="Arial"/>
          <w:b/>
        </w:rPr>
        <w:t xml:space="preserve"> </w:t>
      </w:r>
      <w:proofErr w:type="spellStart"/>
      <w:r w:rsidRPr="00632771">
        <w:rPr>
          <w:rFonts w:ascii="Corbel" w:hAnsi="Corbel" w:cs="Arial"/>
          <w:b/>
        </w:rPr>
        <w:t>maksimizirati</w:t>
      </w:r>
      <w:proofErr w:type="spellEnd"/>
      <w:r w:rsidRPr="00632771">
        <w:rPr>
          <w:rFonts w:ascii="Corbel" w:hAnsi="Corbel" w:cs="Arial"/>
          <w:b/>
        </w:rPr>
        <w:t xml:space="preserve"> kapacitete koje ima</w:t>
      </w:r>
      <w:r w:rsidRPr="00632771">
        <w:rPr>
          <w:rFonts w:ascii="Corbel" w:hAnsi="Corbel" w:cs="Arial"/>
        </w:rPr>
        <w:t>.</w:t>
      </w:r>
    </w:p>
    <w:p w:rsidR="001D31A5" w:rsidRPr="00632771" w:rsidRDefault="001D31A5" w:rsidP="00632771">
      <w:pPr>
        <w:autoSpaceDE w:val="0"/>
        <w:autoSpaceDN w:val="0"/>
        <w:adjustRightInd w:val="0"/>
        <w:spacing w:line="240" w:lineRule="auto"/>
        <w:jc w:val="both"/>
        <w:rPr>
          <w:rFonts w:ascii="Corbel" w:hAnsi="Corbel" w:cs="Arial"/>
        </w:rPr>
      </w:pPr>
      <w:r w:rsidRPr="00632771">
        <w:rPr>
          <w:rFonts w:ascii="Corbel" w:hAnsi="Corbel" w:cs="Arial"/>
        </w:rPr>
        <w:t xml:space="preserve">Koncentracija poduzetnika na gradskom prostoru grada je </w:t>
      </w:r>
      <w:r w:rsidRPr="00632771">
        <w:rPr>
          <w:rFonts w:ascii="Corbel" w:hAnsi="Corbel" w:cs="Arial"/>
          <w:b/>
        </w:rPr>
        <w:t>9,5 poduzetnika po km</w:t>
      </w:r>
      <w:r w:rsidRPr="00632771">
        <w:rPr>
          <w:rFonts w:ascii="Corbel" w:hAnsi="Corbel" w:cs="Arial"/>
          <w:b/>
          <w:vertAlign w:val="superscript"/>
        </w:rPr>
        <w:t>2</w:t>
      </w:r>
      <w:r w:rsidRPr="00632771">
        <w:rPr>
          <w:rFonts w:ascii="Corbel" w:hAnsi="Corbel" w:cs="Arial"/>
        </w:rPr>
        <w:t>, dok je prosječno aktivno u RH ukupno 4 poduzetnika po km</w:t>
      </w:r>
      <w:r w:rsidRPr="00632771">
        <w:rPr>
          <w:rFonts w:ascii="Corbel" w:hAnsi="Corbel" w:cs="Arial"/>
          <w:vertAlign w:val="superscript"/>
        </w:rPr>
        <w:t>2</w:t>
      </w:r>
      <w:r w:rsidRPr="00632771">
        <w:rPr>
          <w:rFonts w:ascii="Corbel" w:hAnsi="Corbel" w:cs="Arial"/>
        </w:rPr>
        <w:t>.</w:t>
      </w:r>
    </w:p>
    <w:p w:rsidR="001D31A5" w:rsidRPr="00632771" w:rsidRDefault="001D31A5" w:rsidP="00632771">
      <w:pPr>
        <w:autoSpaceDE w:val="0"/>
        <w:autoSpaceDN w:val="0"/>
        <w:adjustRightInd w:val="0"/>
        <w:spacing w:after="0" w:line="240" w:lineRule="auto"/>
        <w:jc w:val="both"/>
        <w:rPr>
          <w:rFonts w:ascii="Corbel" w:hAnsi="Corbel" w:cs="Arial"/>
        </w:rPr>
      </w:pPr>
      <w:r w:rsidRPr="00632771">
        <w:rPr>
          <w:rFonts w:ascii="Corbel" w:hAnsi="Corbel" w:cs="Arial"/>
        </w:rPr>
        <w:t>Značajna stavka</w:t>
      </w:r>
      <w:r w:rsidR="002F7F12" w:rsidRPr="00632771">
        <w:rPr>
          <w:rFonts w:ascii="Corbel" w:hAnsi="Corbel" w:cs="Arial"/>
        </w:rPr>
        <w:t xml:space="preserve"> u</w:t>
      </w:r>
      <w:r w:rsidRPr="00632771">
        <w:rPr>
          <w:rFonts w:ascii="Corbel" w:hAnsi="Corbel" w:cs="Arial"/>
        </w:rPr>
        <w:t xml:space="preserve"> </w:t>
      </w:r>
      <w:r w:rsidR="002F7F12" w:rsidRPr="00632771">
        <w:rPr>
          <w:rFonts w:ascii="Corbel" w:hAnsi="Corbel" w:cs="Arial"/>
        </w:rPr>
        <w:t>analizi</w:t>
      </w:r>
      <w:r w:rsidRPr="00632771">
        <w:rPr>
          <w:rFonts w:ascii="Corbel" w:hAnsi="Corbel" w:cs="Arial"/>
        </w:rPr>
        <w:t xml:space="preserve"> financi</w:t>
      </w:r>
      <w:r w:rsidR="002F7F12" w:rsidRPr="00632771">
        <w:rPr>
          <w:rFonts w:ascii="Corbel" w:hAnsi="Corbel" w:cs="Arial"/>
        </w:rPr>
        <w:t>jskih pokazatelja poduzetnika za prihodovnu stranu gradskog</w:t>
      </w:r>
      <w:r w:rsidRPr="00632771">
        <w:rPr>
          <w:rFonts w:ascii="Corbel" w:hAnsi="Corbel" w:cs="Arial"/>
        </w:rPr>
        <w:t xml:space="preserve"> proračuna je </w:t>
      </w:r>
      <w:r w:rsidRPr="00632771">
        <w:rPr>
          <w:rFonts w:ascii="Corbel" w:hAnsi="Corbel" w:cs="Arial"/>
          <w:b/>
        </w:rPr>
        <w:t>porez na dobit</w:t>
      </w:r>
      <w:r w:rsidRPr="00632771">
        <w:rPr>
          <w:rFonts w:ascii="Corbel" w:hAnsi="Corbel" w:cs="Arial"/>
        </w:rPr>
        <w:t xml:space="preserve"> (</w:t>
      </w:r>
      <w:r w:rsidR="002F7F12" w:rsidRPr="00632771">
        <w:rPr>
          <w:rFonts w:ascii="Corbel" w:hAnsi="Corbel" w:cs="Arial"/>
        </w:rPr>
        <w:t>zajednič</w:t>
      </w:r>
      <w:r w:rsidRPr="00632771">
        <w:rPr>
          <w:rFonts w:ascii="Corbel" w:hAnsi="Corbel" w:cs="Arial"/>
        </w:rPr>
        <w:t>k</w:t>
      </w:r>
      <w:r w:rsidR="002F7F12" w:rsidRPr="00632771">
        <w:rPr>
          <w:rFonts w:ascii="Corbel" w:hAnsi="Corbel" w:cs="Arial"/>
        </w:rPr>
        <w:t>i prihodi - koji se dijele s drž</w:t>
      </w:r>
      <w:r w:rsidRPr="00632771">
        <w:rPr>
          <w:rFonts w:ascii="Corbel" w:hAnsi="Corbel" w:cs="Arial"/>
        </w:rPr>
        <w:t>avom)</w:t>
      </w:r>
      <w:r w:rsidR="002F7F12" w:rsidRPr="00632771">
        <w:rPr>
          <w:rFonts w:ascii="Corbel" w:hAnsi="Corbel" w:cs="Arial"/>
        </w:rPr>
        <w:t xml:space="preserve">. Vidljivo je kako je ukupna suma poreza na dobit značajno rasla do 2008. godine (356,14%)  nakon čega su izdvajanja za porez na dobit opala za 29,5%. </w:t>
      </w:r>
      <w:r w:rsidR="002F7F12" w:rsidRPr="00632771">
        <w:rPr>
          <w:rFonts w:ascii="Corbel" w:hAnsi="Corbel" w:cs="Arial"/>
          <w:b/>
        </w:rPr>
        <w:t>Pad poreza na dobit znači i pad prihoda proračuna</w:t>
      </w:r>
      <w:r w:rsidR="002F7F12" w:rsidRPr="00632771">
        <w:rPr>
          <w:rFonts w:ascii="Corbel" w:hAnsi="Corbel" w:cs="Arial"/>
        </w:rPr>
        <w:t xml:space="preserve"> od poreza na dobit u isto tolikoj mjeri.</w:t>
      </w:r>
    </w:p>
    <w:p w:rsidR="002F7F12" w:rsidRPr="00632771" w:rsidRDefault="002F7F12" w:rsidP="00632771">
      <w:pPr>
        <w:autoSpaceDE w:val="0"/>
        <w:autoSpaceDN w:val="0"/>
        <w:adjustRightInd w:val="0"/>
        <w:spacing w:after="0" w:line="240" w:lineRule="auto"/>
        <w:jc w:val="both"/>
        <w:rPr>
          <w:rFonts w:ascii="Corbel" w:hAnsi="Corbel" w:cs="Arial"/>
        </w:rPr>
      </w:pPr>
    </w:p>
    <w:p w:rsidR="007F5B47" w:rsidRPr="00632771" w:rsidRDefault="002F7F12" w:rsidP="00632771">
      <w:pPr>
        <w:autoSpaceDE w:val="0"/>
        <w:autoSpaceDN w:val="0"/>
        <w:adjustRightInd w:val="0"/>
        <w:spacing w:after="0" w:line="240" w:lineRule="auto"/>
        <w:jc w:val="both"/>
        <w:rPr>
          <w:rFonts w:ascii="Corbel" w:hAnsi="Corbel" w:cs="Arial"/>
        </w:rPr>
      </w:pPr>
      <w:r w:rsidRPr="00632771">
        <w:rPr>
          <w:rFonts w:ascii="Corbel" w:hAnsi="Corbel" w:cs="Arial"/>
          <w:b/>
        </w:rPr>
        <w:t>Prosječna plaća</w:t>
      </w:r>
      <w:r w:rsidRPr="00632771">
        <w:rPr>
          <w:rFonts w:ascii="Corbel" w:hAnsi="Corbel" w:cs="Arial"/>
        </w:rPr>
        <w:t xml:space="preserve"> koju poduzetnik isplaćuje svojim zaposlenicima </w:t>
      </w:r>
      <w:r w:rsidRPr="00632771">
        <w:rPr>
          <w:rFonts w:ascii="Corbel" w:hAnsi="Corbel" w:cs="Arial"/>
          <w:b/>
        </w:rPr>
        <w:t>iznosi 4.8</w:t>
      </w:r>
      <w:r w:rsidR="006959B5" w:rsidRPr="00632771">
        <w:rPr>
          <w:rFonts w:ascii="Corbel" w:hAnsi="Corbel" w:cs="Arial"/>
          <w:b/>
        </w:rPr>
        <w:t>47</w:t>
      </w:r>
      <w:r w:rsidRPr="00632771">
        <w:rPr>
          <w:rFonts w:ascii="Corbel" w:hAnsi="Corbel" w:cs="Arial"/>
          <w:b/>
        </w:rPr>
        <w:t xml:space="preserve"> kn u </w:t>
      </w:r>
      <w:r w:rsidR="006959B5" w:rsidRPr="00632771">
        <w:rPr>
          <w:rFonts w:ascii="Corbel" w:hAnsi="Corbel" w:cs="Arial"/>
          <w:b/>
        </w:rPr>
        <w:t>2010.</w:t>
      </w:r>
      <w:r w:rsidRPr="00632771">
        <w:rPr>
          <w:rFonts w:ascii="Corbel" w:hAnsi="Corbel" w:cs="Arial"/>
          <w:b/>
        </w:rPr>
        <w:t xml:space="preserve"> godini</w:t>
      </w:r>
      <w:r w:rsidRPr="00632771">
        <w:rPr>
          <w:rFonts w:ascii="Corbel" w:hAnsi="Corbel" w:cs="Arial"/>
        </w:rPr>
        <w:t>. U odnosu na prosječnu neto plaću u Zadarskoj županiji koja uključuje izdvajanje za plaće javnog i privatnog sektora i iznosi 5.137 kn</w:t>
      </w:r>
      <w:r w:rsidR="006959B5" w:rsidRPr="00632771">
        <w:rPr>
          <w:rFonts w:ascii="Corbel" w:hAnsi="Corbel" w:cs="Arial"/>
        </w:rPr>
        <w:t xml:space="preserve">, </w:t>
      </w:r>
      <w:r w:rsidR="006959B5" w:rsidRPr="00632771">
        <w:rPr>
          <w:rFonts w:ascii="Corbel" w:hAnsi="Corbel" w:cs="Arial"/>
          <w:b/>
        </w:rPr>
        <w:t>prosječna plaća isplaćena kod poduzetnika je za 290 kn manja</w:t>
      </w:r>
      <w:r w:rsidR="006959B5" w:rsidRPr="00632771">
        <w:rPr>
          <w:rFonts w:ascii="Corbel" w:hAnsi="Corbel" w:cs="Arial"/>
        </w:rPr>
        <w:t>.</w:t>
      </w:r>
    </w:p>
    <w:p w:rsidR="00EA4BA3" w:rsidRDefault="00EA4BA3" w:rsidP="00781815">
      <w:pPr>
        <w:autoSpaceDE w:val="0"/>
        <w:autoSpaceDN w:val="0"/>
        <w:adjustRightInd w:val="0"/>
        <w:spacing w:after="0" w:line="240" w:lineRule="auto"/>
        <w:rPr>
          <w:rFonts w:ascii="Helvetica" w:hAnsi="Helvetica" w:cs="Helvetica"/>
          <w:sz w:val="24"/>
          <w:szCs w:val="24"/>
          <w:highlight w:val="yellow"/>
        </w:rPr>
      </w:pPr>
    </w:p>
    <w:p w:rsidR="00EA4BA3" w:rsidRDefault="00EA4BA3" w:rsidP="00EA4BA3">
      <w:pPr>
        <w:pStyle w:val="Opisslike"/>
        <w:keepNext/>
      </w:pPr>
      <w:bookmarkStart w:id="62" w:name="_Toc351538419"/>
      <w:r>
        <w:t xml:space="preserve">Tablica </w:t>
      </w:r>
      <w:fldSimple w:instr=" SEQ Tablica \* ARABIC ">
        <w:r w:rsidR="00280AAE">
          <w:rPr>
            <w:noProof/>
          </w:rPr>
          <w:t>14</w:t>
        </w:r>
      </w:fldSimple>
      <w:r>
        <w:t>.: Temeljni financijski pokazatelji poduzetnika u razdoblju rasta i recesije za grad Zadar</w:t>
      </w:r>
      <w:bookmarkEnd w:id="62"/>
    </w:p>
    <w:tbl>
      <w:tblPr>
        <w:tblW w:w="9362" w:type="dxa"/>
        <w:tblInd w:w="93" w:type="dxa"/>
        <w:tblLook w:val="04A0" w:firstRow="1" w:lastRow="0" w:firstColumn="1" w:lastColumn="0" w:noHBand="0" w:noVBand="1"/>
      </w:tblPr>
      <w:tblGrid>
        <w:gridCol w:w="2112"/>
        <w:gridCol w:w="1690"/>
        <w:gridCol w:w="1668"/>
        <w:gridCol w:w="1379"/>
        <w:gridCol w:w="1179"/>
        <w:gridCol w:w="1334"/>
      </w:tblGrid>
      <w:tr w:rsidR="002944CF" w:rsidRPr="00EA4BA3" w:rsidTr="002944CF">
        <w:trPr>
          <w:trHeight w:val="440"/>
        </w:trPr>
        <w:tc>
          <w:tcPr>
            <w:tcW w:w="21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 </w:t>
            </w:r>
          </w:p>
        </w:tc>
        <w:tc>
          <w:tcPr>
            <w:tcW w:w="1690" w:type="dxa"/>
            <w:tcBorders>
              <w:top w:val="single" w:sz="4" w:space="0" w:color="auto"/>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2001.</w:t>
            </w:r>
          </w:p>
        </w:tc>
        <w:tc>
          <w:tcPr>
            <w:tcW w:w="1668" w:type="dxa"/>
            <w:tcBorders>
              <w:top w:val="single" w:sz="4" w:space="0" w:color="auto"/>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2008.</w:t>
            </w:r>
          </w:p>
        </w:tc>
        <w:tc>
          <w:tcPr>
            <w:tcW w:w="1379" w:type="dxa"/>
            <w:tcBorders>
              <w:top w:val="single" w:sz="4" w:space="0" w:color="auto"/>
              <w:left w:val="nil"/>
              <w:bottom w:val="single" w:sz="4" w:space="0" w:color="auto"/>
              <w:right w:val="single" w:sz="18" w:space="0" w:color="auto"/>
            </w:tcBorders>
            <w:shd w:val="clear" w:color="auto" w:fill="auto"/>
            <w:noWrap/>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2011.</w:t>
            </w:r>
          </w:p>
        </w:tc>
        <w:tc>
          <w:tcPr>
            <w:tcW w:w="1179" w:type="dxa"/>
            <w:tcBorders>
              <w:top w:val="single" w:sz="18" w:space="0" w:color="auto"/>
              <w:left w:val="single" w:sz="18" w:space="0" w:color="auto"/>
              <w:bottom w:val="single" w:sz="4" w:space="0" w:color="auto"/>
              <w:right w:val="single" w:sz="2" w:space="0" w:color="auto"/>
            </w:tcBorders>
            <w:shd w:val="clear" w:color="000000" w:fill="D9D9D9"/>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2001-2008 PROMJENA</w:t>
            </w:r>
          </w:p>
        </w:tc>
        <w:tc>
          <w:tcPr>
            <w:tcW w:w="1334" w:type="dxa"/>
            <w:tcBorders>
              <w:top w:val="single" w:sz="18" w:space="0" w:color="auto"/>
              <w:left w:val="single" w:sz="2" w:space="0" w:color="auto"/>
              <w:bottom w:val="single" w:sz="4" w:space="0" w:color="auto"/>
              <w:right w:val="single" w:sz="18" w:space="0" w:color="auto"/>
            </w:tcBorders>
            <w:shd w:val="clear" w:color="000000" w:fill="D9D9D9"/>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2008-2011 PROMJENA</w:t>
            </w:r>
          </w:p>
        </w:tc>
      </w:tr>
      <w:tr w:rsidR="002944CF" w:rsidRPr="002944CF" w:rsidTr="002944CF">
        <w:trPr>
          <w:trHeight w:val="220"/>
        </w:trPr>
        <w:tc>
          <w:tcPr>
            <w:tcW w:w="2112" w:type="dxa"/>
            <w:tcBorders>
              <w:top w:val="nil"/>
              <w:left w:val="single" w:sz="4" w:space="0" w:color="auto"/>
              <w:bottom w:val="single" w:sz="4" w:space="0" w:color="auto"/>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Ukupni prihod</w:t>
            </w:r>
          </w:p>
        </w:tc>
        <w:tc>
          <w:tcPr>
            <w:tcW w:w="1690"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3.806.596,00</w:t>
            </w:r>
          </w:p>
        </w:tc>
        <w:tc>
          <w:tcPr>
            <w:tcW w:w="1668"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8.879.762,00</w:t>
            </w:r>
          </w:p>
        </w:tc>
        <w:tc>
          <w:tcPr>
            <w:tcW w:w="1379" w:type="dxa"/>
            <w:tcBorders>
              <w:top w:val="nil"/>
              <w:left w:val="nil"/>
              <w:bottom w:val="single" w:sz="4" w:space="0" w:color="auto"/>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6.326.677,00</w:t>
            </w:r>
          </w:p>
        </w:tc>
        <w:tc>
          <w:tcPr>
            <w:tcW w:w="1179" w:type="dxa"/>
            <w:tcBorders>
              <w:top w:val="nil"/>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133,27</w:t>
            </w:r>
          </w:p>
        </w:tc>
        <w:tc>
          <w:tcPr>
            <w:tcW w:w="1334" w:type="dxa"/>
            <w:tcBorders>
              <w:top w:val="nil"/>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-28,75</w:t>
            </w:r>
          </w:p>
        </w:tc>
      </w:tr>
      <w:tr w:rsidR="002944CF" w:rsidRPr="002944CF" w:rsidTr="002944CF">
        <w:trPr>
          <w:trHeight w:val="220"/>
        </w:trPr>
        <w:tc>
          <w:tcPr>
            <w:tcW w:w="2112" w:type="dxa"/>
            <w:tcBorders>
              <w:top w:val="nil"/>
              <w:left w:val="single" w:sz="4" w:space="0" w:color="auto"/>
              <w:bottom w:val="single" w:sz="4" w:space="0" w:color="auto"/>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Ukupni rashodi</w:t>
            </w:r>
          </w:p>
        </w:tc>
        <w:tc>
          <w:tcPr>
            <w:tcW w:w="1690"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3.727.168,00</w:t>
            </w:r>
          </w:p>
        </w:tc>
        <w:tc>
          <w:tcPr>
            <w:tcW w:w="1668"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8.770.219,00</w:t>
            </w:r>
          </w:p>
        </w:tc>
        <w:tc>
          <w:tcPr>
            <w:tcW w:w="1379" w:type="dxa"/>
            <w:tcBorders>
              <w:top w:val="nil"/>
              <w:left w:val="nil"/>
              <w:bottom w:val="single" w:sz="4" w:space="0" w:color="auto"/>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6.718.944,00</w:t>
            </w:r>
          </w:p>
        </w:tc>
        <w:tc>
          <w:tcPr>
            <w:tcW w:w="1179" w:type="dxa"/>
            <w:tcBorders>
              <w:top w:val="nil"/>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135,31</w:t>
            </w:r>
          </w:p>
        </w:tc>
        <w:tc>
          <w:tcPr>
            <w:tcW w:w="1334" w:type="dxa"/>
            <w:tcBorders>
              <w:top w:val="nil"/>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-23,39</w:t>
            </w:r>
          </w:p>
        </w:tc>
      </w:tr>
      <w:tr w:rsidR="002944CF" w:rsidRPr="002944CF" w:rsidTr="002944CF">
        <w:trPr>
          <w:trHeight w:val="220"/>
        </w:trPr>
        <w:tc>
          <w:tcPr>
            <w:tcW w:w="2112" w:type="dxa"/>
            <w:tcBorders>
              <w:top w:val="nil"/>
              <w:left w:val="single" w:sz="4" w:space="0" w:color="auto"/>
              <w:bottom w:val="single" w:sz="4" w:space="0" w:color="auto"/>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Dobit prije opor.</w:t>
            </w:r>
          </w:p>
        </w:tc>
        <w:tc>
          <w:tcPr>
            <w:tcW w:w="1690"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169.701,00</w:t>
            </w:r>
          </w:p>
        </w:tc>
        <w:tc>
          <w:tcPr>
            <w:tcW w:w="1668"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660.828,00</w:t>
            </w:r>
          </w:p>
        </w:tc>
        <w:tc>
          <w:tcPr>
            <w:tcW w:w="1379" w:type="dxa"/>
            <w:tcBorders>
              <w:top w:val="nil"/>
              <w:left w:val="nil"/>
              <w:bottom w:val="single" w:sz="4" w:space="0" w:color="auto"/>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265.516,00</w:t>
            </w:r>
          </w:p>
        </w:tc>
        <w:tc>
          <w:tcPr>
            <w:tcW w:w="1179" w:type="dxa"/>
            <w:tcBorders>
              <w:top w:val="nil"/>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289,41</w:t>
            </w:r>
          </w:p>
        </w:tc>
        <w:tc>
          <w:tcPr>
            <w:tcW w:w="1334" w:type="dxa"/>
            <w:tcBorders>
              <w:top w:val="nil"/>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-59,82</w:t>
            </w:r>
          </w:p>
        </w:tc>
      </w:tr>
      <w:tr w:rsidR="002944CF" w:rsidRPr="002944CF" w:rsidTr="00EA4BA3">
        <w:trPr>
          <w:trHeight w:val="77"/>
        </w:trPr>
        <w:tc>
          <w:tcPr>
            <w:tcW w:w="2112" w:type="dxa"/>
            <w:tcBorders>
              <w:top w:val="nil"/>
              <w:left w:val="single" w:sz="4" w:space="0" w:color="auto"/>
              <w:bottom w:val="single" w:sz="18" w:space="0" w:color="FF0000"/>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Gubitak prije opor.</w:t>
            </w:r>
          </w:p>
        </w:tc>
        <w:tc>
          <w:tcPr>
            <w:tcW w:w="1690" w:type="dxa"/>
            <w:tcBorders>
              <w:top w:val="nil"/>
              <w:left w:val="nil"/>
              <w:bottom w:val="single" w:sz="18" w:space="0" w:color="FF0000"/>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90.273,00</w:t>
            </w:r>
          </w:p>
        </w:tc>
        <w:tc>
          <w:tcPr>
            <w:tcW w:w="1668" w:type="dxa"/>
            <w:tcBorders>
              <w:top w:val="nil"/>
              <w:left w:val="nil"/>
              <w:bottom w:val="single" w:sz="18" w:space="0" w:color="FF0000"/>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551.285,00</w:t>
            </w:r>
          </w:p>
        </w:tc>
        <w:tc>
          <w:tcPr>
            <w:tcW w:w="1379" w:type="dxa"/>
            <w:tcBorders>
              <w:top w:val="nil"/>
              <w:left w:val="nil"/>
              <w:bottom w:val="single" w:sz="18" w:space="0" w:color="FF0000"/>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657.783,00</w:t>
            </w:r>
          </w:p>
        </w:tc>
        <w:tc>
          <w:tcPr>
            <w:tcW w:w="1179" w:type="dxa"/>
            <w:tcBorders>
              <w:top w:val="nil"/>
              <w:left w:val="single" w:sz="18" w:space="0" w:color="auto"/>
              <w:bottom w:val="single" w:sz="18" w:space="0" w:color="FF0000"/>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510,69</w:t>
            </w:r>
          </w:p>
        </w:tc>
        <w:tc>
          <w:tcPr>
            <w:tcW w:w="1334" w:type="dxa"/>
            <w:tcBorders>
              <w:top w:val="nil"/>
              <w:left w:val="single" w:sz="2" w:space="0" w:color="auto"/>
              <w:bottom w:val="single" w:sz="18" w:space="0" w:color="FF0000"/>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19,32</w:t>
            </w:r>
          </w:p>
        </w:tc>
      </w:tr>
      <w:tr w:rsidR="002944CF" w:rsidRPr="00EA4BA3" w:rsidTr="002944CF">
        <w:trPr>
          <w:trHeight w:val="231"/>
        </w:trPr>
        <w:tc>
          <w:tcPr>
            <w:tcW w:w="2112" w:type="dxa"/>
            <w:tcBorders>
              <w:top w:val="single" w:sz="18" w:space="0" w:color="FF0000"/>
              <w:left w:val="single" w:sz="18" w:space="0" w:color="FF0000"/>
              <w:bottom w:val="single" w:sz="18" w:space="0" w:color="FF0000"/>
              <w:right w:val="single" w:sz="4" w:space="0" w:color="auto"/>
            </w:tcBorders>
            <w:shd w:val="clear" w:color="000000" w:fill="FFFFFF"/>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Porez na dobit</w:t>
            </w:r>
          </w:p>
        </w:tc>
        <w:tc>
          <w:tcPr>
            <w:tcW w:w="1690" w:type="dxa"/>
            <w:tcBorders>
              <w:top w:val="single" w:sz="18" w:space="0" w:color="FF0000"/>
              <w:left w:val="nil"/>
              <w:bottom w:val="single" w:sz="18" w:space="0" w:color="FF0000"/>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15.154,00</w:t>
            </w:r>
          </w:p>
        </w:tc>
        <w:tc>
          <w:tcPr>
            <w:tcW w:w="1668" w:type="dxa"/>
            <w:tcBorders>
              <w:top w:val="single" w:sz="18" w:space="0" w:color="FF0000"/>
              <w:left w:val="nil"/>
              <w:bottom w:val="single" w:sz="18" w:space="0" w:color="FF0000"/>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69.123,00</w:t>
            </w:r>
          </w:p>
        </w:tc>
        <w:tc>
          <w:tcPr>
            <w:tcW w:w="1379" w:type="dxa"/>
            <w:tcBorders>
              <w:top w:val="single" w:sz="18" w:space="0" w:color="FF0000"/>
              <w:left w:val="nil"/>
              <w:bottom w:val="single" w:sz="18" w:space="0" w:color="FF0000"/>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48.753,00</w:t>
            </w:r>
          </w:p>
        </w:tc>
        <w:tc>
          <w:tcPr>
            <w:tcW w:w="1179" w:type="dxa"/>
            <w:tcBorders>
              <w:top w:val="single" w:sz="18" w:space="0" w:color="FF0000"/>
              <w:left w:val="single" w:sz="18" w:space="0" w:color="auto"/>
              <w:bottom w:val="single" w:sz="18" w:space="0" w:color="FF0000"/>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356,14</w:t>
            </w:r>
          </w:p>
        </w:tc>
        <w:tc>
          <w:tcPr>
            <w:tcW w:w="1334" w:type="dxa"/>
            <w:tcBorders>
              <w:top w:val="single" w:sz="18" w:space="0" w:color="FF0000"/>
              <w:left w:val="single" w:sz="2" w:space="0" w:color="auto"/>
              <w:bottom w:val="single" w:sz="18" w:space="0" w:color="FF0000"/>
              <w:right w:val="single" w:sz="18" w:space="0" w:color="FF0000"/>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-29,47</w:t>
            </w:r>
          </w:p>
        </w:tc>
      </w:tr>
      <w:tr w:rsidR="002944CF" w:rsidRPr="002944CF" w:rsidTr="00EA4BA3">
        <w:trPr>
          <w:trHeight w:val="53"/>
        </w:trPr>
        <w:tc>
          <w:tcPr>
            <w:tcW w:w="2112" w:type="dxa"/>
            <w:tcBorders>
              <w:top w:val="single" w:sz="18" w:space="0" w:color="FF0000"/>
              <w:left w:val="single" w:sz="4" w:space="0" w:color="auto"/>
              <w:bottom w:val="single" w:sz="4" w:space="0" w:color="auto"/>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Dobit nakon opor.</w:t>
            </w:r>
          </w:p>
        </w:tc>
        <w:tc>
          <w:tcPr>
            <w:tcW w:w="1690" w:type="dxa"/>
            <w:tcBorders>
              <w:top w:val="single" w:sz="18" w:space="0" w:color="FF0000"/>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154.581,00</w:t>
            </w:r>
          </w:p>
        </w:tc>
        <w:tc>
          <w:tcPr>
            <w:tcW w:w="1668" w:type="dxa"/>
            <w:tcBorders>
              <w:top w:val="single" w:sz="18" w:space="0" w:color="FF0000"/>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592.039,00</w:t>
            </w:r>
          </w:p>
        </w:tc>
        <w:tc>
          <w:tcPr>
            <w:tcW w:w="1379" w:type="dxa"/>
            <w:tcBorders>
              <w:top w:val="single" w:sz="18" w:space="0" w:color="FF0000"/>
              <w:left w:val="nil"/>
              <w:bottom w:val="single" w:sz="4" w:space="0" w:color="auto"/>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216.886,00</w:t>
            </w:r>
          </w:p>
        </w:tc>
        <w:tc>
          <w:tcPr>
            <w:tcW w:w="1179" w:type="dxa"/>
            <w:tcBorders>
              <w:top w:val="single" w:sz="18" w:space="0" w:color="FF0000"/>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283,00</w:t>
            </w:r>
          </w:p>
        </w:tc>
        <w:tc>
          <w:tcPr>
            <w:tcW w:w="1334" w:type="dxa"/>
            <w:tcBorders>
              <w:top w:val="single" w:sz="18" w:space="0" w:color="FF0000"/>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-63,37</w:t>
            </w:r>
          </w:p>
        </w:tc>
      </w:tr>
      <w:tr w:rsidR="002944CF" w:rsidRPr="002944CF" w:rsidTr="00EA4BA3">
        <w:trPr>
          <w:trHeight w:val="223"/>
        </w:trPr>
        <w:tc>
          <w:tcPr>
            <w:tcW w:w="2112" w:type="dxa"/>
            <w:tcBorders>
              <w:top w:val="nil"/>
              <w:left w:val="single" w:sz="4" w:space="0" w:color="auto"/>
              <w:bottom w:val="single" w:sz="4" w:space="0" w:color="auto"/>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lastRenderedPageBreak/>
              <w:t>Gubitak nakon opor.</w:t>
            </w:r>
          </w:p>
        </w:tc>
        <w:tc>
          <w:tcPr>
            <w:tcW w:w="1690"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90.306,00</w:t>
            </w:r>
          </w:p>
        </w:tc>
        <w:tc>
          <w:tcPr>
            <w:tcW w:w="1668" w:type="dxa"/>
            <w:tcBorders>
              <w:top w:val="nil"/>
              <w:left w:val="nil"/>
              <w:bottom w:val="single" w:sz="4"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551.619,00</w:t>
            </w:r>
          </w:p>
        </w:tc>
        <w:tc>
          <w:tcPr>
            <w:tcW w:w="1379" w:type="dxa"/>
            <w:tcBorders>
              <w:top w:val="nil"/>
              <w:left w:val="nil"/>
              <w:bottom w:val="single" w:sz="4" w:space="0" w:color="auto"/>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657.905,00</w:t>
            </w:r>
          </w:p>
        </w:tc>
        <w:tc>
          <w:tcPr>
            <w:tcW w:w="1179" w:type="dxa"/>
            <w:tcBorders>
              <w:top w:val="nil"/>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510,83</w:t>
            </w:r>
          </w:p>
        </w:tc>
        <w:tc>
          <w:tcPr>
            <w:tcW w:w="1334" w:type="dxa"/>
            <w:tcBorders>
              <w:top w:val="nil"/>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19,27</w:t>
            </w:r>
          </w:p>
        </w:tc>
      </w:tr>
      <w:tr w:rsidR="002944CF" w:rsidRPr="002944CF" w:rsidTr="002944CF">
        <w:trPr>
          <w:trHeight w:val="231"/>
        </w:trPr>
        <w:tc>
          <w:tcPr>
            <w:tcW w:w="2112" w:type="dxa"/>
            <w:tcBorders>
              <w:top w:val="nil"/>
              <w:left w:val="single" w:sz="4" w:space="0" w:color="auto"/>
              <w:bottom w:val="single" w:sz="18" w:space="0" w:color="auto"/>
              <w:right w:val="single" w:sz="4" w:space="0" w:color="auto"/>
            </w:tcBorders>
            <w:shd w:val="clear" w:color="auto" w:fill="auto"/>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NETO DOBIT</w:t>
            </w:r>
          </w:p>
        </w:tc>
        <w:tc>
          <w:tcPr>
            <w:tcW w:w="1690" w:type="dxa"/>
            <w:tcBorders>
              <w:top w:val="nil"/>
              <w:left w:val="nil"/>
              <w:bottom w:val="single" w:sz="18"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64.275,00</w:t>
            </w:r>
          </w:p>
        </w:tc>
        <w:tc>
          <w:tcPr>
            <w:tcW w:w="1668" w:type="dxa"/>
            <w:tcBorders>
              <w:top w:val="nil"/>
              <w:left w:val="nil"/>
              <w:bottom w:val="single" w:sz="18" w:space="0" w:color="auto"/>
              <w:right w:val="single" w:sz="4"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40.420,00</w:t>
            </w:r>
          </w:p>
        </w:tc>
        <w:tc>
          <w:tcPr>
            <w:tcW w:w="1379" w:type="dxa"/>
            <w:tcBorders>
              <w:top w:val="nil"/>
              <w:left w:val="nil"/>
              <w:bottom w:val="single" w:sz="18" w:space="0" w:color="auto"/>
              <w:right w:val="single" w:sz="18" w:space="0" w:color="auto"/>
            </w:tcBorders>
            <w:shd w:val="clear" w:color="auto" w:fill="auto"/>
            <w:noWrap/>
            <w:vAlign w:val="bottom"/>
            <w:hideMark/>
          </w:tcPr>
          <w:p w:rsidR="002944CF" w:rsidRPr="002944CF" w:rsidRDefault="002944CF" w:rsidP="002944CF">
            <w:pPr>
              <w:spacing w:after="0" w:line="240" w:lineRule="auto"/>
              <w:jc w:val="right"/>
              <w:rPr>
                <w:rFonts w:ascii="Calibri" w:eastAsia="Times New Roman" w:hAnsi="Calibri" w:cs="Times New Roman"/>
                <w:color w:val="FF0000"/>
                <w:sz w:val="20"/>
                <w:szCs w:val="18"/>
                <w:lang w:eastAsia="hr-HR"/>
              </w:rPr>
            </w:pPr>
            <w:r w:rsidRPr="002944CF">
              <w:rPr>
                <w:rFonts w:ascii="Calibri" w:eastAsia="Times New Roman" w:hAnsi="Calibri" w:cs="Times New Roman"/>
                <w:color w:val="FF0000"/>
                <w:sz w:val="20"/>
                <w:szCs w:val="18"/>
                <w:lang w:eastAsia="hr-HR"/>
              </w:rPr>
              <w:t>-441.019,00</w:t>
            </w:r>
          </w:p>
        </w:tc>
        <w:tc>
          <w:tcPr>
            <w:tcW w:w="1179" w:type="dxa"/>
            <w:tcBorders>
              <w:top w:val="nil"/>
              <w:left w:val="single" w:sz="18" w:space="0" w:color="auto"/>
              <w:bottom w:val="single" w:sz="18"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-37,11</w:t>
            </w:r>
          </w:p>
        </w:tc>
        <w:tc>
          <w:tcPr>
            <w:tcW w:w="1334" w:type="dxa"/>
            <w:tcBorders>
              <w:top w:val="nil"/>
              <w:left w:val="single" w:sz="2" w:space="0" w:color="auto"/>
              <w:bottom w:val="single" w:sz="18"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-1.191,09</w:t>
            </w:r>
          </w:p>
        </w:tc>
      </w:tr>
      <w:tr w:rsidR="002944CF" w:rsidRPr="00EA4BA3" w:rsidTr="00EA4BA3">
        <w:trPr>
          <w:trHeight w:val="253"/>
        </w:trPr>
        <w:tc>
          <w:tcPr>
            <w:tcW w:w="2112" w:type="dxa"/>
            <w:tcBorders>
              <w:top w:val="single" w:sz="18" w:space="0" w:color="auto"/>
              <w:left w:val="single" w:sz="18" w:space="0" w:color="auto"/>
              <w:bottom w:val="single" w:sz="4" w:space="0" w:color="auto"/>
              <w:right w:val="single" w:sz="4" w:space="0" w:color="auto"/>
            </w:tcBorders>
            <w:shd w:val="clear" w:color="000000" w:fill="D9D9D9"/>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Prosječna neto plaća</w:t>
            </w:r>
          </w:p>
        </w:tc>
        <w:tc>
          <w:tcPr>
            <w:tcW w:w="1690" w:type="dxa"/>
            <w:tcBorders>
              <w:top w:val="single" w:sz="18" w:space="0" w:color="auto"/>
              <w:left w:val="nil"/>
              <w:bottom w:val="single" w:sz="4" w:space="0" w:color="auto"/>
              <w:right w:val="single" w:sz="4"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2.685,00</w:t>
            </w:r>
          </w:p>
        </w:tc>
        <w:tc>
          <w:tcPr>
            <w:tcW w:w="1668" w:type="dxa"/>
            <w:tcBorders>
              <w:top w:val="single" w:sz="18" w:space="0" w:color="auto"/>
              <w:left w:val="nil"/>
              <w:bottom w:val="single" w:sz="4" w:space="0" w:color="auto"/>
              <w:right w:val="single" w:sz="4"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4.666,00</w:t>
            </w:r>
          </w:p>
        </w:tc>
        <w:tc>
          <w:tcPr>
            <w:tcW w:w="1379" w:type="dxa"/>
            <w:tcBorders>
              <w:top w:val="single" w:sz="18" w:space="0" w:color="auto"/>
              <w:left w:val="nil"/>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4.826,00</w:t>
            </w:r>
          </w:p>
        </w:tc>
        <w:tc>
          <w:tcPr>
            <w:tcW w:w="1179" w:type="dxa"/>
            <w:tcBorders>
              <w:top w:val="single" w:sz="18" w:space="0" w:color="auto"/>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73,78</w:t>
            </w:r>
          </w:p>
        </w:tc>
        <w:tc>
          <w:tcPr>
            <w:tcW w:w="1334" w:type="dxa"/>
            <w:tcBorders>
              <w:top w:val="single" w:sz="18" w:space="0" w:color="auto"/>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3,43</w:t>
            </w:r>
          </w:p>
        </w:tc>
      </w:tr>
      <w:tr w:rsidR="002944CF" w:rsidRPr="00EA4BA3" w:rsidTr="002944CF">
        <w:trPr>
          <w:trHeight w:val="220"/>
        </w:trPr>
        <w:tc>
          <w:tcPr>
            <w:tcW w:w="2112" w:type="dxa"/>
            <w:tcBorders>
              <w:top w:val="single" w:sz="4" w:space="0" w:color="auto"/>
              <w:left w:val="single" w:sz="18" w:space="0" w:color="auto"/>
              <w:bottom w:val="single" w:sz="4" w:space="0" w:color="auto"/>
              <w:right w:val="single" w:sz="4" w:space="0" w:color="auto"/>
            </w:tcBorders>
            <w:shd w:val="clear" w:color="000000" w:fill="D9D9D9"/>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Broj poduzetn</w:t>
            </w:r>
            <w:r w:rsidR="00EA4BA3">
              <w:rPr>
                <w:rFonts w:ascii="Calibri" w:eastAsia="Times New Roman" w:hAnsi="Calibri" w:cs="Times New Roman"/>
                <w:color w:val="000000"/>
                <w:sz w:val="20"/>
                <w:szCs w:val="18"/>
                <w:lang w:eastAsia="hr-HR"/>
              </w:rPr>
              <w:t>i</w:t>
            </w:r>
            <w:r w:rsidRPr="002944CF">
              <w:rPr>
                <w:rFonts w:ascii="Calibri" w:eastAsia="Times New Roman" w:hAnsi="Calibri" w:cs="Times New Roman"/>
                <w:color w:val="000000"/>
                <w:sz w:val="20"/>
                <w:szCs w:val="18"/>
                <w:lang w:eastAsia="hr-HR"/>
              </w:rPr>
              <w:t>ka</w:t>
            </w:r>
          </w:p>
        </w:tc>
        <w:tc>
          <w:tcPr>
            <w:tcW w:w="1690" w:type="dxa"/>
            <w:tcBorders>
              <w:top w:val="single" w:sz="4" w:space="0" w:color="auto"/>
              <w:left w:val="nil"/>
              <w:bottom w:val="single" w:sz="4" w:space="0" w:color="auto"/>
              <w:right w:val="single" w:sz="4"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790,00</w:t>
            </w:r>
          </w:p>
        </w:tc>
        <w:tc>
          <w:tcPr>
            <w:tcW w:w="1668" w:type="dxa"/>
            <w:tcBorders>
              <w:top w:val="single" w:sz="4" w:space="0" w:color="auto"/>
              <w:left w:val="nil"/>
              <w:bottom w:val="single" w:sz="4" w:space="0" w:color="auto"/>
              <w:right w:val="single" w:sz="4"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1.636,00</w:t>
            </w:r>
          </w:p>
        </w:tc>
        <w:tc>
          <w:tcPr>
            <w:tcW w:w="1379" w:type="dxa"/>
            <w:tcBorders>
              <w:top w:val="single" w:sz="4" w:space="0" w:color="auto"/>
              <w:left w:val="nil"/>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1.824,00</w:t>
            </w:r>
          </w:p>
        </w:tc>
        <w:tc>
          <w:tcPr>
            <w:tcW w:w="1179" w:type="dxa"/>
            <w:tcBorders>
              <w:top w:val="single" w:sz="4" w:space="0" w:color="auto"/>
              <w:left w:val="single" w:sz="18" w:space="0" w:color="auto"/>
              <w:bottom w:val="single" w:sz="4"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107,09</w:t>
            </w:r>
          </w:p>
        </w:tc>
        <w:tc>
          <w:tcPr>
            <w:tcW w:w="1334" w:type="dxa"/>
            <w:tcBorders>
              <w:top w:val="single" w:sz="4" w:space="0" w:color="auto"/>
              <w:left w:val="single" w:sz="2" w:space="0" w:color="auto"/>
              <w:bottom w:val="single" w:sz="4"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11,49</w:t>
            </w:r>
          </w:p>
        </w:tc>
      </w:tr>
      <w:tr w:rsidR="002944CF" w:rsidRPr="00EA4BA3" w:rsidTr="00EA4BA3">
        <w:trPr>
          <w:trHeight w:val="77"/>
        </w:trPr>
        <w:tc>
          <w:tcPr>
            <w:tcW w:w="2112" w:type="dxa"/>
            <w:tcBorders>
              <w:top w:val="single" w:sz="4" w:space="0" w:color="auto"/>
              <w:left w:val="single" w:sz="18" w:space="0" w:color="auto"/>
              <w:bottom w:val="single" w:sz="18" w:space="0" w:color="auto"/>
              <w:right w:val="single" w:sz="4" w:space="0" w:color="auto"/>
            </w:tcBorders>
            <w:shd w:val="clear" w:color="000000" w:fill="D9D9D9"/>
            <w:vAlign w:val="bottom"/>
            <w:hideMark/>
          </w:tcPr>
          <w:p w:rsidR="002944CF" w:rsidRPr="002944CF" w:rsidRDefault="002944CF" w:rsidP="002944CF">
            <w:pPr>
              <w:spacing w:after="0" w:line="240" w:lineRule="auto"/>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Prosječan broj zaposlenih</w:t>
            </w:r>
          </w:p>
        </w:tc>
        <w:tc>
          <w:tcPr>
            <w:tcW w:w="1690" w:type="dxa"/>
            <w:tcBorders>
              <w:top w:val="single" w:sz="4" w:space="0" w:color="auto"/>
              <w:left w:val="nil"/>
              <w:bottom w:val="single" w:sz="18" w:space="0" w:color="auto"/>
              <w:right w:val="single" w:sz="4"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7.010,00</w:t>
            </w:r>
          </w:p>
        </w:tc>
        <w:tc>
          <w:tcPr>
            <w:tcW w:w="1668" w:type="dxa"/>
            <w:tcBorders>
              <w:top w:val="single" w:sz="4" w:space="0" w:color="auto"/>
              <w:left w:val="nil"/>
              <w:bottom w:val="single" w:sz="18" w:space="0" w:color="auto"/>
              <w:right w:val="single" w:sz="4"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13.753,00</w:t>
            </w:r>
          </w:p>
        </w:tc>
        <w:tc>
          <w:tcPr>
            <w:tcW w:w="1379" w:type="dxa"/>
            <w:tcBorders>
              <w:top w:val="single" w:sz="4" w:space="0" w:color="auto"/>
              <w:left w:val="nil"/>
              <w:bottom w:val="single" w:sz="18"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13.303,00</w:t>
            </w:r>
          </w:p>
        </w:tc>
        <w:tc>
          <w:tcPr>
            <w:tcW w:w="1179" w:type="dxa"/>
            <w:tcBorders>
              <w:top w:val="single" w:sz="4" w:space="0" w:color="auto"/>
              <w:left w:val="single" w:sz="18" w:space="0" w:color="auto"/>
              <w:bottom w:val="single" w:sz="18" w:space="0" w:color="auto"/>
              <w:right w:val="single" w:sz="2"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96,19</w:t>
            </w:r>
          </w:p>
        </w:tc>
        <w:tc>
          <w:tcPr>
            <w:tcW w:w="1334" w:type="dxa"/>
            <w:tcBorders>
              <w:top w:val="single" w:sz="4" w:space="0" w:color="auto"/>
              <w:left w:val="single" w:sz="2" w:space="0" w:color="auto"/>
              <w:bottom w:val="single" w:sz="18" w:space="0" w:color="auto"/>
              <w:right w:val="single" w:sz="18" w:space="0" w:color="auto"/>
            </w:tcBorders>
            <w:shd w:val="clear" w:color="000000" w:fill="D9D9D9"/>
            <w:noWrap/>
            <w:vAlign w:val="bottom"/>
            <w:hideMark/>
          </w:tcPr>
          <w:p w:rsidR="002944CF" w:rsidRPr="002944CF" w:rsidRDefault="002944CF" w:rsidP="002944CF">
            <w:pPr>
              <w:spacing w:after="0" w:line="240" w:lineRule="auto"/>
              <w:jc w:val="right"/>
              <w:rPr>
                <w:rFonts w:ascii="Calibri" w:eastAsia="Times New Roman" w:hAnsi="Calibri" w:cs="Times New Roman"/>
                <w:color w:val="000000"/>
                <w:sz w:val="20"/>
                <w:szCs w:val="18"/>
                <w:lang w:eastAsia="hr-HR"/>
              </w:rPr>
            </w:pPr>
            <w:r w:rsidRPr="002944CF">
              <w:rPr>
                <w:rFonts w:ascii="Calibri" w:eastAsia="Times New Roman" w:hAnsi="Calibri" w:cs="Times New Roman"/>
                <w:color w:val="000000"/>
                <w:sz w:val="20"/>
                <w:szCs w:val="18"/>
                <w:lang w:eastAsia="hr-HR"/>
              </w:rPr>
              <w:t>-3,27</w:t>
            </w:r>
          </w:p>
        </w:tc>
      </w:tr>
    </w:tbl>
    <w:p w:rsidR="00EA4BA3" w:rsidRPr="0060658A" w:rsidRDefault="00EA4BA3" w:rsidP="00EA4BA3">
      <w:pPr>
        <w:jc w:val="both"/>
        <w:rPr>
          <w:rFonts w:ascii="Times New Roman" w:hAnsi="Times New Roman" w:cs="Arial"/>
        </w:rPr>
      </w:pPr>
      <w:r w:rsidRPr="0060658A">
        <w:rPr>
          <w:rFonts w:ascii="Times New Roman" w:hAnsi="Times New Roman" w:cs="Arial"/>
        </w:rPr>
        <w:t>Izvor: FINA, 2012</w:t>
      </w:r>
    </w:p>
    <w:p w:rsidR="00F63EDF" w:rsidRPr="00632771" w:rsidRDefault="00F63EDF" w:rsidP="00781815">
      <w:pPr>
        <w:jc w:val="both"/>
        <w:rPr>
          <w:rFonts w:ascii="Corbel" w:hAnsi="Corbel" w:cs="Times New Roman"/>
          <w:szCs w:val="24"/>
        </w:rPr>
      </w:pPr>
      <w:r w:rsidRPr="00632771">
        <w:rPr>
          <w:rFonts w:ascii="Corbel" w:hAnsi="Corbel" w:cs="Times New Roman"/>
          <w:szCs w:val="24"/>
        </w:rPr>
        <w:t>Analiza strukture djelatnosti poduzetnika pokazuje kao i prethodna analiza</w:t>
      </w:r>
      <w:r w:rsidR="003974E1" w:rsidRPr="00632771">
        <w:rPr>
          <w:rFonts w:ascii="Corbel" w:hAnsi="Corbel" w:cs="Times New Roman"/>
          <w:szCs w:val="24"/>
        </w:rPr>
        <w:t xml:space="preserve"> ukupnog gospodarstva</w:t>
      </w:r>
      <w:r w:rsidRPr="00632771">
        <w:rPr>
          <w:rFonts w:ascii="Corbel" w:hAnsi="Corbel" w:cs="Times New Roman"/>
          <w:szCs w:val="24"/>
        </w:rPr>
        <w:t xml:space="preserve"> da su gla</w:t>
      </w:r>
      <w:r w:rsidR="003974E1" w:rsidRPr="00632771">
        <w:rPr>
          <w:rFonts w:ascii="Corbel" w:hAnsi="Corbel" w:cs="Times New Roman"/>
          <w:szCs w:val="24"/>
        </w:rPr>
        <w:t xml:space="preserve">vne poduzetničke djelatnosti </w:t>
      </w:r>
      <w:r w:rsidR="003974E1" w:rsidRPr="00632771">
        <w:rPr>
          <w:rFonts w:ascii="Corbel" w:hAnsi="Corbel" w:cs="Times New Roman"/>
          <w:b/>
          <w:szCs w:val="24"/>
        </w:rPr>
        <w:t>trgovina, prerađivačka industrija, građevina, prijevoz i skladištenje te pružanje hrane i smještaja</w:t>
      </w:r>
      <w:r w:rsidR="003974E1" w:rsidRPr="00632771">
        <w:rPr>
          <w:rFonts w:ascii="Corbel" w:hAnsi="Corbel" w:cs="Times New Roman"/>
          <w:szCs w:val="24"/>
        </w:rPr>
        <w:t xml:space="preserve">. Razlika je u odnosu na </w:t>
      </w:r>
      <w:r w:rsidR="00D1488A" w:rsidRPr="00632771">
        <w:rPr>
          <w:rFonts w:ascii="Corbel" w:hAnsi="Corbel" w:cs="Times New Roman"/>
          <w:szCs w:val="24"/>
        </w:rPr>
        <w:t xml:space="preserve">prethodno </w:t>
      </w:r>
      <w:r w:rsidR="003974E1" w:rsidRPr="00632771">
        <w:rPr>
          <w:rFonts w:ascii="Corbel" w:hAnsi="Corbel" w:cs="Times New Roman"/>
          <w:szCs w:val="24"/>
        </w:rPr>
        <w:t>promatranje čitavog gospodarstva (javnog i privatnog sektora) što prerađivačka industrija ovdje uzima veći udio</w:t>
      </w:r>
      <w:r w:rsidR="00D1488A" w:rsidRPr="00632771">
        <w:rPr>
          <w:rFonts w:ascii="Corbel" w:hAnsi="Corbel" w:cs="Times New Roman"/>
          <w:szCs w:val="24"/>
        </w:rPr>
        <w:t xml:space="preserve"> u strukturi zaposlenosti </w:t>
      </w:r>
      <w:r w:rsidR="003974E1" w:rsidRPr="00632771">
        <w:rPr>
          <w:rFonts w:ascii="Corbel" w:hAnsi="Corbel" w:cs="Times New Roman"/>
          <w:szCs w:val="24"/>
        </w:rPr>
        <w:t xml:space="preserve">i iznosi 14% zaposlenosti, odmah iza građevine. Dakle, </w:t>
      </w:r>
      <w:r w:rsidR="003974E1" w:rsidRPr="00632771">
        <w:rPr>
          <w:rFonts w:ascii="Corbel" w:hAnsi="Corbel" w:cs="Times New Roman"/>
          <w:b/>
          <w:szCs w:val="24"/>
        </w:rPr>
        <w:t>promatrajući isključivo rezultate poduzetnika prerađivačka industrija je iza trgovine najvažnija poduzetnička grana u Zadru</w:t>
      </w:r>
      <w:r w:rsidR="003974E1" w:rsidRPr="00632771">
        <w:rPr>
          <w:rFonts w:ascii="Corbel" w:hAnsi="Corbel" w:cs="Times New Roman"/>
          <w:szCs w:val="24"/>
        </w:rPr>
        <w:t>.</w:t>
      </w:r>
    </w:p>
    <w:p w:rsidR="001165EE" w:rsidRPr="00B37C59" w:rsidRDefault="0041452A" w:rsidP="00B37C59">
      <w:pPr>
        <w:pStyle w:val="Naslov2"/>
        <w:spacing w:after="120"/>
      </w:pPr>
      <w:bookmarkStart w:id="63" w:name="_Toc351539744"/>
      <w:r w:rsidRPr="00B37C59">
        <w:t xml:space="preserve">7.2. </w:t>
      </w:r>
      <w:r w:rsidR="00DB77B5" w:rsidRPr="00B37C59">
        <w:t>Pregled blokiranih poslovnih subjekata (</w:t>
      </w:r>
      <w:r w:rsidR="001165EE" w:rsidRPr="00B37C59">
        <w:t>Neizvr</w:t>
      </w:r>
      <w:r w:rsidR="00A52E59" w:rsidRPr="00B37C59">
        <w:t>šena</w:t>
      </w:r>
      <w:r w:rsidR="001165EE" w:rsidRPr="00B37C59">
        <w:t xml:space="preserve"> plaćanja</w:t>
      </w:r>
      <w:r w:rsidR="00DB77B5" w:rsidRPr="00B37C59">
        <w:t>)</w:t>
      </w:r>
      <w:bookmarkEnd w:id="63"/>
    </w:p>
    <w:p w:rsidR="00D1488A" w:rsidRPr="00632771" w:rsidRDefault="006A03FD" w:rsidP="00781815">
      <w:pPr>
        <w:jc w:val="both"/>
        <w:rPr>
          <w:rFonts w:ascii="Corbel" w:hAnsi="Corbel" w:cs="Times New Roman"/>
          <w:szCs w:val="24"/>
        </w:rPr>
      </w:pPr>
      <w:r w:rsidRPr="00632771">
        <w:rPr>
          <w:rFonts w:ascii="Corbel" w:hAnsi="Corbel" w:cs="Times New Roman"/>
          <w:szCs w:val="24"/>
        </w:rPr>
        <w:t xml:space="preserve">Jedan od najvećih problema s </w:t>
      </w:r>
      <w:r w:rsidR="001165EE" w:rsidRPr="00632771">
        <w:rPr>
          <w:rFonts w:ascii="Corbel" w:hAnsi="Corbel" w:cs="Times New Roman"/>
          <w:szCs w:val="24"/>
        </w:rPr>
        <w:t xml:space="preserve">kojima se trenutno </w:t>
      </w:r>
      <w:r w:rsidRPr="00632771">
        <w:rPr>
          <w:rFonts w:ascii="Corbel" w:hAnsi="Corbel" w:cs="Times New Roman"/>
          <w:szCs w:val="24"/>
        </w:rPr>
        <w:t>poduzetnici u</w:t>
      </w:r>
      <w:r w:rsidR="001165EE" w:rsidRPr="00632771">
        <w:rPr>
          <w:rFonts w:ascii="Corbel" w:hAnsi="Corbel" w:cs="Times New Roman"/>
          <w:szCs w:val="24"/>
        </w:rPr>
        <w:t xml:space="preserve"> RH suočava</w:t>
      </w:r>
      <w:r w:rsidRPr="00632771">
        <w:rPr>
          <w:rFonts w:ascii="Corbel" w:hAnsi="Corbel" w:cs="Times New Roman"/>
          <w:szCs w:val="24"/>
        </w:rPr>
        <w:t>ju</w:t>
      </w:r>
      <w:r w:rsidR="001165EE" w:rsidRPr="00632771">
        <w:rPr>
          <w:rFonts w:ascii="Corbel" w:hAnsi="Corbel" w:cs="Times New Roman"/>
          <w:szCs w:val="24"/>
        </w:rPr>
        <w:t xml:space="preserve"> </w:t>
      </w:r>
      <w:r w:rsidRPr="00632771">
        <w:rPr>
          <w:rFonts w:ascii="Corbel" w:hAnsi="Corbel" w:cs="Times New Roman"/>
          <w:szCs w:val="24"/>
        </w:rPr>
        <w:t>je</w:t>
      </w:r>
      <w:r w:rsidR="008307E1" w:rsidRPr="00632771">
        <w:rPr>
          <w:rFonts w:ascii="Corbel" w:hAnsi="Corbel" w:cs="Times New Roman"/>
          <w:szCs w:val="24"/>
        </w:rPr>
        <w:t xml:space="preserve"> nemogućnost naplate potraživanja</w:t>
      </w:r>
      <w:r w:rsidRPr="00632771">
        <w:rPr>
          <w:rFonts w:ascii="Corbel" w:hAnsi="Corbel" w:cs="Times New Roman"/>
          <w:szCs w:val="24"/>
        </w:rPr>
        <w:t>, a</w:t>
      </w:r>
      <w:r w:rsidR="008307E1" w:rsidRPr="00632771">
        <w:rPr>
          <w:rFonts w:ascii="Corbel" w:hAnsi="Corbel" w:cs="Times New Roman"/>
          <w:szCs w:val="24"/>
        </w:rPr>
        <w:t xml:space="preserve"> koja uzrokuje povećanu nelikvidnost</w:t>
      </w:r>
      <w:r w:rsidRPr="00632771">
        <w:rPr>
          <w:rFonts w:ascii="Corbel" w:hAnsi="Corbel" w:cs="Times New Roman"/>
          <w:szCs w:val="24"/>
        </w:rPr>
        <w:t xml:space="preserve"> gospodarskog sustava RH</w:t>
      </w:r>
      <w:r w:rsidR="008307E1" w:rsidRPr="00632771">
        <w:rPr>
          <w:rFonts w:ascii="Corbel" w:hAnsi="Corbel" w:cs="Times New Roman"/>
          <w:szCs w:val="24"/>
        </w:rPr>
        <w:t xml:space="preserve">. </w:t>
      </w:r>
      <w:r w:rsidR="00D1488A" w:rsidRPr="00632771">
        <w:rPr>
          <w:rFonts w:ascii="Corbel" w:hAnsi="Corbel" w:cs="Times New Roman"/>
          <w:szCs w:val="24"/>
        </w:rPr>
        <w:t xml:space="preserve">Ovdje su prikazani svi poslovni subjekti (pravne i fizičke osobe) koji su </w:t>
      </w:r>
      <w:r w:rsidR="00DB77B5" w:rsidRPr="00632771">
        <w:rPr>
          <w:rFonts w:ascii="Corbel" w:hAnsi="Corbel" w:cs="Times New Roman"/>
          <w:szCs w:val="24"/>
        </w:rPr>
        <w:t>barem na jedan dan bili blokirani zbog neizvršenih plaćanja. Podaci uključuju sve one poslovne subjekte koji su u sustavu FINA-e</w:t>
      </w:r>
      <w:r w:rsidR="00356251" w:rsidRPr="00632771">
        <w:rPr>
          <w:rFonts w:ascii="Corbel" w:hAnsi="Corbel" w:cs="Times New Roman"/>
          <w:szCs w:val="24"/>
        </w:rPr>
        <w:t>, čak</w:t>
      </w:r>
      <w:r w:rsidR="00DB77B5" w:rsidRPr="00632771">
        <w:rPr>
          <w:rFonts w:ascii="Corbel" w:hAnsi="Corbel" w:cs="Times New Roman"/>
          <w:szCs w:val="24"/>
        </w:rPr>
        <w:t xml:space="preserve"> i ako nisu predali završna izvješća po nekoliko godina, no imaju evidentiran dug.</w:t>
      </w:r>
    </w:p>
    <w:p w:rsidR="0097778D" w:rsidRPr="00632771" w:rsidRDefault="0084750F" w:rsidP="00781815">
      <w:pPr>
        <w:jc w:val="both"/>
        <w:rPr>
          <w:rFonts w:ascii="Corbel" w:hAnsi="Corbel" w:cs="Times New Roman"/>
          <w:szCs w:val="24"/>
        </w:rPr>
      </w:pPr>
      <w:r w:rsidRPr="00632771">
        <w:rPr>
          <w:rFonts w:ascii="Corbel" w:hAnsi="Corbel" w:cs="Times New Roman"/>
          <w:szCs w:val="24"/>
        </w:rPr>
        <w:t xml:space="preserve">U strukturi prema ročnosti </w:t>
      </w:r>
      <w:r w:rsidRPr="00632771">
        <w:rPr>
          <w:rFonts w:ascii="Corbel" w:hAnsi="Corbel" w:cs="Times New Roman"/>
          <w:b/>
          <w:szCs w:val="24"/>
        </w:rPr>
        <w:t>daleko najviše je onih koji su dugotrajno blokirani, više od 360 dana</w:t>
      </w:r>
      <w:r w:rsidRPr="00632771">
        <w:rPr>
          <w:rFonts w:ascii="Corbel" w:hAnsi="Corbel" w:cs="Times New Roman"/>
          <w:szCs w:val="24"/>
        </w:rPr>
        <w:t xml:space="preserve"> </w:t>
      </w:r>
      <w:r w:rsidRPr="00632771">
        <w:rPr>
          <w:rFonts w:ascii="Corbel" w:hAnsi="Corbel" w:cs="Times New Roman"/>
          <w:b/>
          <w:szCs w:val="24"/>
        </w:rPr>
        <w:t>(</w:t>
      </w:r>
      <w:r w:rsidR="00DB77B5" w:rsidRPr="00632771">
        <w:rPr>
          <w:rFonts w:ascii="Corbel" w:hAnsi="Corbel" w:cs="Times New Roman"/>
          <w:b/>
          <w:szCs w:val="24"/>
        </w:rPr>
        <w:t>više od 80%</w:t>
      </w:r>
      <w:r w:rsidRPr="00632771">
        <w:rPr>
          <w:rFonts w:ascii="Corbel" w:hAnsi="Corbel" w:cs="Times New Roman"/>
          <w:b/>
          <w:szCs w:val="24"/>
        </w:rPr>
        <w:t>)</w:t>
      </w:r>
      <w:r w:rsidR="00DB77B5" w:rsidRPr="00632771">
        <w:rPr>
          <w:rFonts w:ascii="Corbel" w:hAnsi="Corbel" w:cs="Times New Roman"/>
          <w:szCs w:val="24"/>
        </w:rPr>
        <w:t>, dakle prenose svoj dug iz godine u godinu.</w:t>
      </w:r>
    </w:p>
    <w:p w:rsidR="0084750F" w:rsidRPr="00632771" w:rsidRDefault="005425B3" w:rsidP="0084750F">
      <w:pPr>
        <w:jc w:val="both"/>
        <w:rPr>
          <w:rFonts w:ascii="Corbel" w:hAnsi="Corbel" w:cs="Times New Roman"/>
          <w:szCs w:val="24"/>
        </w:rPr>
      </w:pPr>
      <w:r w:rsidRPr="00632771">
        <w:rPr>
          <w:rFonts w:ascii="Corbel" w:hAnsi="Corbel" w:cs="Times New Roman"/>
          <w:szCs w:val="24"/>
        </w:rPr>
        <w:t>U kolovozu 2012. u RH ukupno ima:</w:t>
      </w:r>
    </w:p>
    <w:p w:rsidR="005425B3" w:rsidRPr="00632771" w:rsidRDefault="005425B3" w:rsidP="005425B3">
      <w:pPr>
        <w:pStyle w:val="Odlomakpopisa"/>
        <w:numPr>
          <w:ilvl w:val="0"/>
          <w:numId w:val="20"/>
        </w:numPr>
        <w:jc w:val="both"/>
        <w:rPr>
          <w:rFonts w:ascii="Corbel" w:hAnsi="Corbel" w:cs="Times New Roman"/>
          <w:szCs w:val="24"/>
        </w:rPr>
      </w:pPr>
      <w:r w:rsidRPr="00632771">
        <w:rPr>
          <w:rFonts w:ascii="Corbel" w:hAnsi="Corbel" w:cs="Times New Roman"/>
          <w:szCs w:val="24"/>
        </w:rPr>
        <w:t xml:space="preserve">73.393 blokiranih poslovnih subjekata (od toga </w:t>
      </w:r>
      <w:r w:rsidRPr="00632771">
        <w:rPr>
          <w:rFonts w:ascii="Corbel" w:hAnsi="Corbel" w:cs="Times New Roman"/>
          <w:bCs/>
          <w:szCs w:val="24"/>
        </w:rPr>
        <w:t>pravnih</w:t>
      </w:r>
      <w:r w:rsidRPr="00632771">
        <w:rPr>
          <w:rFonts w:ascii="Corbel" w:hAnsi="Corbel" w:cs="Times New Roman"/>
          <w:szCs w:val="24"/>
        </w:rPr>
        <w:t xml:space="preserve"> </w:t>
      </w:r>
      <w:r w:rsidRPr="00632771">
        <w:rPr>
          <w:rFonts w:ascii="Corbel" w:hAnsi="Corbel" w:cs="Times New Roman"/>
          <w:bCs/>
          <w:szCs w:val="24"/>
        </w:rPr>
        <w:t>je osoba 52,7%, a fizičkih osoba je 47,3%</w:t>
      </w:r>
      <w:r w:rsidRPr="00632771">
        <w:rPr>
          <w:rFonts w:ascii="Corbel" w:hAnsi="Corbel" w:cs="Times New Roman"/>
          <w:szCs w:val="24"/>
        </w:rPr>
        <w:t>)</w:t>
      </w:r>
      <w:r w:rsidR="00A52E59" w:rsidRPr="00632771">
        <w:rPr>
          <w:rFonts w:ascii="Corbel" w:hAnsi="Corbel" w:cs="Times New Roman"/>
          <w:szCs w:val="24"/>
        </w:rPr>
        <w:t>,</w:t>
      </w:r>
    </w:p>
    <w:p w:rsidR="005425B3" w:rsidRPr="00632771" w:rsidRDefault="008E1E46" w:rsidP="005425B3">
      <w:pPr>
        <w:pStyle w:val="Odlomakpopisa"/>
        <w:numPr>
          <w:ilvl w:val="0"/>
          <w:numId w:val="20"/>
        </w:numPr>
        <w:jc w:val="both"/>
        <w:rPr>
          <w:rFonts w:ascii="Corbel" w:hAnsi="Corbel" w:cs="Times New Roman"/>
          <w:szCs w:val="24"/>
        </w:rPr>
      </w:pPr>
      <w:r w:rsidRPr="00632771">
        <w:rPr>
          <w:rFonts w:ascii="Corbel" w:hAnsi="Corbel" w:cs="Times New Roman"/>
          <w:szCs w:val="24"/>
        </w:rPr>
        <w:t>66.265 osoba zaposlenih u blokiranim poslovnim subjektima</w:t>
      </w:r>
      <w:r w:rsidR="00A52E59" w:rsidRPr="00632771">
        <w:rPr>
          <w:rFonts w:ascii="Corbel" w:hAnsi="Corbel" w:cs="Times New Roman"/>
          <w:szCs w:val="24"/>
        </w:rPr>
        <w:t>,</w:t>
      </w:r>
    </w:p>
    <w:p w:rsidR="008E1E46" w:rsidRPr="00632771" w:rsidRDefault="008E1E46" w:rsidP="005425B3">
      <w:pPr>
        <w:pStyle w:val="Odlomakpopisa"/>
        <w:numPr>
          <w:ilvl w:val="0"/>
          <w:numId w:val="20"/>
        </w:numPr>
        <w:jc w:val="both"/>
        <w:rPr>
          <w:rFonts w:ascii="Corbel" w:hAnsi="Corbel" w:cs="Times New Roman"/>
          <w:szCs w:val="24"/>
        </w:rPr>
      </w:pPr>
      <w:r w:rsidRPr="00632771">
        <w:rPr>
          <w:rFonts w:ascii="Corbel" w:hAnsi="Corbel" w:cs="Times New Roman"/>
          <w:szCs w:val="24"/>
        </w:rPr>
        <w:t>poslovni subjekti u blokadi ukupno duguju 44,06 milijardi kuna.</w:t>
      </w:r>
    </w:p>
    <w:p w:rsidR="008E1E46" w:rsidRPr="00632771" w:rsidRDefault="008E1E46" w:rsidP="008E1E46">
      <w:pPr>
        <w:jc w:val="both"/>
        <w:rPr>
          <w:rFonts w:ascii="Corbel" w:hAnsi="Corbel" w:cs="Times New Roman"/>
          <w:szCs w:val="24"/>
        </w:rPr>
      </w:pPr>
      <w:r w:rsidRPr="00632771">
        <w:rPr>
          <w:rFonts w:ascii="Corbel" w:hAnsi="Corbel" w:cs="Times New Roman"/>
          <w:szCs w:val="24"/>
        </w:rPr>
        <w:t>Od toga je u gradu Zadru:</w:t>
      </w:r>
    </w:p>
    <w:p w:rsidR="008E1E46" w:rsidRPr="00632771" w:rsidRDefault="00A52E59" w:rsidP="00A52E59">
      <w:pPr>
        <w:pStyle w:val="Odlomakpopisa"/>
        <w:numPr>
          <w:ilvl w:val="0"/>
          <w:numId w:val="22"/>
        </w:numPr>
        <w:jc w:val="both"/>
        <w:rPr>
          <w:rFonts w:ascii="Corbel" w:hAnsi="Corbel" w:cs="Times New Roman"/>
          <w:szCs w:val="24"/>
        </w:rPr>
      </w:pPr>
      <w:r w:rsidRPr="00632771">
        <w:rPr>
          <w:rFonts w:ascii="Corbel" w:hAnsi="Corbel" w:cs="Times New Roman"/>
          <w:szCs w:val="24"/>
        </w:rPr>
        <w:t>1.680 blokiranih poslovnih subjekata,</w:t>
      </w:r>
    </w:p>
    <w:p w:rsidR="00A52E59" w:rsidRPr="00632771" w:rsidRDefault="00A52E59" w:rsidP="00A52E59">
      <w:pPr>
        <w:pStyle w:val="Odlomakpopisa"/>
        <w:numPr>
          <w:ilvl w:val="0"/>
          <w:numId w:val="22"/>
        </w:numPr>
        <w:jc w:val="both"/>
        <w:rPr>
          <w:rFonts w:ascii="Corbel" w:hAnsi="Corbel" w:cs="Times New Roman"/>
          <w:szCs w:val="24"/>
        </w:rPr>
      </w:pPr>
      <w:r w:rsidRPr="00632771">
        <w:rPr>
          <w:rFonts w:ascii="Corbel" w:hAnsi="Corbel" w:cs="Times New Roman"/>
          <w:szCs w:val="24"/>
        </w:rPr>
        <w:t>1.568 osoba zaposlenih u blokiranim poslovnim subjektima,</w:t>
      </w:r>
    </w:p>
    <w:p w:rsidR="00A52E59" w:rsidRPr="00632771" w:rsidRDefault="00A52E59" w:rsidP="00A52E59">
      <w:pPr>
        <w:pStyle w:val="Odlomakpopisa"/>
        <w:numPr>
          <w:ilvl w:val="0"/>
          <w:numId w:val="22"/>
        </w:numPr>
        <w:jc w:val="both"/>
        <w:rPr>
          <w:rFonts w:ascii="Corbel" w:hAnsi="Corbel" w:cs="Times New Roman"/>
          <w:szCs w:val="24"/>
        </w:rPr>
      </w:pPr>
      <w:r w:rsidRPr="00632771">
        <w:rPr>
          <w:rFonts w:ascii="Corbel" w:hAnsi="Corbel" w:cs="Times New Roman"/>
          <w:szCs w:val="24"/>
        </w:rPr>
        <w:t>poslovni subjekti u blokadi ukupno duguju 773,9 milijuna kuna.</w:t>
      </w:r>
    </w:p>
    <w:p w:rsidR="00DE6654" w:rsidRPr="00632771" w:rsidRDefault="00DE6654" w:rsidP="00F2301C">
      <w:pPr>
        <w:jc w:val="both"/>
        <w:rPr>
          <w:rFonts w:ascii="Corbel" w:hAnsi="Corbel" w:cs="Times New Roman"/>
          <w:szCs w:val="24"/>
        </w:rPr>
      </w:pPr>
      <w:r w:rsidRPr="00632771">
        <w:rPr>
          <w:rFonts w:ascii="Corbel" w:hAnsi="Corbel" w:cs="Times New Roman"/>
          <w:szCs w:val="24"/>
        </w:rPr>
        <w:t xml:space="preserve">Od 2005. godine na ovamo bilježi se </w:t>
      </w:r>
      <w:r w:rsidRPr="00632771">
        <w:rPr>
          <w:rFonts w:ascii="Corbel" w:hAnsi="Corbel" w:cs="Times New Roman"/>
          <w:b/>
          <w:szCs w:val="24"/>
        </w:rPr>
        <w:t>rast iznosa duga za 84,3%</w:t>
      </w:r>
      <w:r w:rsidRPr="00632771">
        <w:rPr>
          <w:rFonts w:ascii="Corbel" w:hAnsi="Corbel" w:cs="Times New Roman"/>
          <w:b/>
          <w:sz w:val="24"/>
          <w:szCs w:val="24"/>
        </w:rPr>
        <w:t xml:space="preserve"> </w:t>
      </w:r>
      <w:r w:rsidRPr="00632771">
        <w:rPr>
          <w:rFonts w:ascii="Corbel" w:hAnsi="Corbel" w:cs="Times New Roman"/>
          <w:b/>
          <w:szCs w:val="24"/>
        </w:rPr>
        <w:t>u Zadru (u RH za 94,7%)</w:t>
      </w:r>
      <w:r w:rsidR="000209BF" w:rsidRPr="00632771">
        <w:rPr>
          <w:rFonts w:ascii="Corbel" w:hAnsi="Corbel" w:cs="Times New Roman"/>
          <w:b/>
          <w:szCs w:val="24"/>
        </w:rPr>
        <w:t xml:space="preserve"> i rast broja zaposlenih u blokiranim poslovnim subjektima od 50%.</w:t>
      </w:r>
    </w:p>
    <w:p w:rsidR="00652498" w:rsidRPr="00632771" w:rsidRDefault="00652498" w:rsidP="00652498">
      <w:pPr>
        <w:jc w:val="both"/>
        <w:rPr>
          <w:rFonts w:ascii="Corbel" w:hAnsi="Corbel" w:cs="Times New Roman"/>
          <w:szCs w:val="24"/>
        </w:rPr>
      </w:pPr>
      <w:r w:rsidRPr="00632771">
        <w:rPr>
          <w:rFonts w:ascii="Corbel" w:hAnsi="Corbel" w:cs="Times New Roman"/>
          <w:szCs w:val="24"/>
        </w:rPr>
        <w:t xml:space="preserve">Najveći iznos blokade </w:t>
      </w:r>
      <w:r w:rsidR="008066EC" w:rsidRPr="00632771">
        <w:rPr>
          <w:rFonts w:ascii="Corbel" w:hAnsi="Corbel" w:cs="Times New Roman"/>
          <w:szCs w:val="24"/>
        </w:rPr>
        <w:t xml:space="preserve">u RH </w:t>
      </w:r>
      <w:r w:rsidRPr="00632771">
        <w:rPr>
          <w:rFonts w:ascii="Corbel" w:hAnsi="Corbel" w:cs="Times New Roman"/>
          <w:szCs w:val="24"/>
        </w:rPr>
        <w:t xml:space="preserve">odnosi se na poslovne subjekte iz djelatnosti </w:t>
      </w:r>
      <w:r w:rsidRPr="00632771">
        <w:rPr>
          <w:rFonts w:ascii="Corbel" w:hAnsi="Corbel" w:cs="Times New Roman"/>
          <w:b/>
          <w:bCs/>
          <w:szCs w:val="24"/>
        </w:rPr>
        <w:t>TRGOVINE</w:t>
      </w:r>
      <w:r w:rsidRPr="00632771">
        <w:rPr>
          <w:rFonts w:ascii="Corbel" w:hAnsi="Corbel" w:cs="Times New Roman"/>
          <w:szCs w:val="24"/>
        </w:rPr>
        <w:t xml:space="preserve">, </w:t>
      </w:r>
      <w:r w:rsidRPr="00632771">
        <w:rPr>
          <w:rFonts w:ascii="Corbel" w:hAnsi="Corbel" w:cs="Times New Roman"/>
          <w:b/>
          <w:bCs/>
          <w:szCs w:val="24"/>
        </w:rPr>
        <w:t xml:space="preserve">ukupno 12,19 milijardi kn </w:t>
      </w:r>
      <w:r w:rsidRPr="00632771">
        <w:rPr>
          <w:rFonts w:ascii="Corbel" w:hAnsi="Corbel" w:cs="Times New Roman"/>
          <w:szCs w:val="24"/>
        </w:rPr>
        <w:t>(27,33%)</w:t>
      </w:r>
      <w:r w:rsidR="00A20B95" w:rsidRPr="00632771">
        <w:rPr>
          <w:rFonts w:ascii="Corbel" w:hAnsi="Corbel" w:cs="Times New Roman"/>
          <w:szCs w:val="24"/>
        </w:rPr>
        <w:t xml:space="preserve"> </w:t>
      </w:r>
      <w:r w:rsidRPr="00632771">
        <w:rPr>
          <w:rFonts w:ascii="Corbel" w:hAnsi="Corbel" w:cs="Times New Roman"/>
          <w:szCs w:val="24"/>
        </w:rPr>
        <w:t xml:space="preserve"> neizvršenih osnova za plaćanje svih poslovnih subjekata</w:t>
      </w:r>
      <w:r w:rsidR="00B2387F" w:rsidRPr="00632771">
        <w:rPr>
          <w:rFonts w:ascii="Corbel" w:hAnsi="Corbel" w:cs="Times New Roman"/>
          <w:szCs w:val="24"/>
        </w:rPr>
        <w:t xml:space="preserve">. </w:t>
      </w:r>
      <w:r w:rsidRPr="00632771">
        <w:rPr>
          <w:rFonts w:ascii="Corbel" w:hAnsi="Corbel" w:cs="Times New Roman"/>
          <w:szCs w:val="24"/>
        </w:rPr>
        <w:t>Prema iznosu blokade slijede poslovni subjekti iz djelatnosti GRAĐEVINARSTVA i prerađivačke djelatnosti</w:t>
      </w:r>
    </w:p>
    <w:p w:rsidR="0084750F" w:rsidRDefault="0084750F" w:rsidP="00781815">
      <w:pPr>
        <w:jc w:val="both"/>
        <w:rPr>
          <w:rFonts w:ascii="Times New Roman" w:hAnsi="Times New Roman" w:cs="Times New Roman"/>
          <w:szCs w:val="24"/>
        </w:rPr>
      </w:pPr>
    </w:p>
    <w:p w:rsidR="00B2387F" w:rsidRDefault="00B2387F" w:rsidP="00B2387F">
      <w:pPr>
        <w:pStyle w:val="Opisslike"/>
        <w:keepNext/>
        <w:jc w:val="both"/>
      </w:pPr>
      <w:bookmarkStart w:id="64" w:name="_Toc351538497"/>
      <w:r>
        <w:lastRenderedPageBreak/>
        <w:t xml:space="preserve">Slika </w:t>
      </w:r>
      <w:fldSimple w:instr=" SEQ Slika \* ARABIC ">
        <w:r w:rsidR="001E7A09">
          <w:rPr>
            <w:noProof/>
          </w:rPr>
          <w:t>34</w:t>
        </w:r>
      </w:fldSimple>
      <w:r>
        <w:t>.:</w:t>
      </w:r>
      <w:r w:rsidRPr="00B2387F">
        <w:t xml:space="preserve"> </w:t>
      </w:r>
      <w:r>
        <w:t>Broj blokiranih poslovnih subjekata i broj zaposlenih u blok. poslovnim subjektima od 2005. do 2012. u Zadru</w:t>
      </w:r>
      <w:bookmarkEnd w:id="64"/>
    </w:p>
    <w:p w:rsidR="00DB77B5" w:rsidRDefault="00B2387F" w:rsidP="00156A21">
      <w:pPr>
        <w:spacing w:after="0"/>
        <w:jc w:val="both"/>
        <w:rPr>
          <w:rFonts w:ascii="Times New Roman" w:hAnsi="Times New Roman" w:cs="Times New Roman"/>
          <w:szCs w:val="24"/>
        </w:rPr>
      </w:pPr>
      <w:r>
        <w:rPr>
          <w:noProof/>
          <w:lang w:eastAsia="hr-HR"/>
        </w:rPr>
        <w:drawing>
          <wp:inline distT="0" distB="0" distL="0" distR="0" wp14:anchorId="701C5270" wp14:editId="09937406">
            <wp:extent cx="5667154" cy="3253563"/>
            <wp:effectExtent l="0" t="0" r="10160" b="23495"/>
            <wp:docPr id="39" name="Grafikon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B77B5" w:rsidRPr="00DE6654" w:rsidRDefault="00DB77B5" w:rsidP="00781815">
      <w:pPr>
        <w:jc w:val="both"/>
        <w:rPr>
          <w:rFonts w:ascii="Times New Roman" w:hAnsi="Times New Roman" w:cs="Arial"/>
        </w:rPr>
      </w:pPr>
      <w:r w:rsidRPr="0060658A">
        <w:rPr>
          <w:rFonts w:ascii="Times New Roman" w:hAnsi="Times New Roman" w:cs="Arial"/>
        </w:rPr>
        <w:t>Izvor: FINA, 2012</w:t>
      </w:r>
    </w:p>
    <w:p w:rsidR="00B2387F" w:rsidRDefault="00B2387F" w:rsidP="00B2387F">
      <w:pPr>
        <w:pStyle w:val="Opisslike"/>
        <w:keepNext/>
        <w:jc w:val="both"/>
      </w:pPr>
      <w:bookmarkStart w:id="65" w:name="_Toc351538498"/>
      <w:r>
        <w:t xml:space="preserve">Slika </w:t>
      </w:r>
      <w:fldSimple w:instr=" SEQ Slika \* ARABIC ">
        <w:r w:rsidR="001E7A09">
          <w:rPr>
            <w:noProof/>
          </w:rPr>
          <w:t>35</w:t>
        </w:r>
      </w:fldSimple>
      <w:r>
        <w:t>.:</w:t>
      </w:r>
      <w:r w:rsidRPr="00B2387F">
        <w:t xml:space="preserve"> </w:t>
      </w:r>
      <w:r>
        <w:t>Rast ukupnog duga blokiranih poslovnih subjekata u Zadru</w:t>
      </w:r>
      <w:bookmarkEnd w:id="65"/>
    </w:p>
    <w:p w:rsidR="00DE6654" w:rsidRDefault="00B2387F" w:rsidP="00156A21">
      <w:pPr>
        <w:spacing w:after="0"/>
        <w:jc w:val="both"/>
        <w:rPr>
          <w:rFonts w:ascii="Times New Roman" w:hAnsi="Times New Roman" w:cs="Times New Roman"/>
          <w:szCs w:val="24"/>
        </w:rPr>
      </w:pPr>
      <w:r>
        <w:rPr>
          <w:noProof/>
          <w:lang w:eastAsia="hr-HR"/>
        </w:rPr>
        <w:drawing>
          <wp:inline distT="0" distB="0" distL="0" distR="0" wp14:anchorId="78D6BBDB" wp14:editId="60F1AACE">
            <wp:extent cx="5667154" cy="3094075"/>
            <wp:effectExtent l="0" t="0" r="10160" b="11430"/>
            <wp:docPr id="38" name="Grafikon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E6654" w:rsidRPr="00DE6654" w:rsidRDefault="00DE6654" w:rsidP="00DE6654">
      <w:pPr>
        <w:jc w:val="both"/>
        <w:rPr>
          <w:rFonts w:ascii="Times New Roman" w:hAnsi="Times New Roman" w:cs="Arial"/>
        </w:rPr>
      </w:pPr>
      <w:r w:rsidRPr="0060658A">
        <w:rPr>
          <w:rFonts w:ascii="Times New Roman" w:hAnsi="Times New Roman" w:cs="Arial"/>
        </w:rPr>
        <w:t>Izvor: FINA, 2012</w:t>
      </w:r>
    </w:p>
    <w:p w:rsidR="00DB77B5" w:rsidRDefault="00DB77B5" w:rsidP="00DE6654">
      <w:pPr>
        <w:rPr>
          <w:rFonts w:ascii="Times New Roman" w:hAnsi="Times New Roman" w:cs="Times New Roman"/>
          <w:szCs w:val="24"/>
        </w:rPr>
      </w:pPr>
    </w:p>
    <w:p w:rsidR="00B2387F" w:rsidRDefault="00B2387F" w:rsidP="00DE6654">
      <w:pPr>
        <w:rPr>
          <w:rFonts w:ascii="Times New Roman" w:hAnsi="Times New Roman" w:cs="Times New Roman"/>
          <w:szCs w:val="24"/>
        </w:rPr>
      </w:pPr>
    </w:p>
    <w:p w:rsidR="00B2387F" w:rsidRDefault="00B2387F" w:rsidP="00DE6654">
      <w:pPr>
        <w:rPr>
          <w:rFonts w:ascii="Times New Roman" w:hAnsi="Times New Roman" w:cs="Times New Roman"/>
          <w:szCs w:val="24"/>
        </w:rPr>
      </w:pPr>
    </w:p>
    <w:p w:rsidR="00B2387F" w:rsidRDefault="00B2387F" w:rsidP="00B2387F">
      <w:pPr>
        <w:pStyle w:val="Opisslike"/>
        <w:keepNext/>
        <w:jc w:val="both"/>
      </w:pPr>
      <w:bookmarkStart w:id="66" w:name="_Toc351538499"/>
      <w:r>
        <w:lastRenderedPageBreak/>
        <w:t xml:space="preserve">Slika </w:t>
      </w:r>
      <w:fldSimple w:instr=" SEQ Slika \* ARABIC ">
        <w:r w:rsidR="001E7A09">
          <w:rPr>
            <w:noProof/>
          </w:rPr>
          <w:t>36</w:t>
        </w:r>
      </w:fldSimple>
      <w:r>
        <w:t>.: Indeks broja poslovnih subjekata u blokadi, broja zaposlenih i iznosa neizvršenih plaćanja za Zadar</w:t>
      </w:r>
      <w:r w:rsidR="00A20B95">
        <w:t>, 2005=100</w:t>
      </w:r>
      <w:bookmarkEnd w:id="66"/>
    </w:p>
    <w:p w:rsidR="00DB77B5" w:rsidRDefault="008E1E46" w:rsidP="00781815">
      <w:pPr>
        <w:jc w:val="both"/>
        <w:rPr>
          <w:rFonts w:ascii="Times New Roman" w:hAnsi="Times New Roman" w:cs="Times New Roman"/>
          <w:szCs w:val="24"/>
        </w:rPr>
      </w:pPr>
      <w:r>
        <w:rPr>
          <w:noProof/>
          <w:lang w:eastAsia="hr-HR"/>
        </w:rPr>
        <w:drawing>
          <wp:inline distT="0" distB="0" distL="0" distR="0" wp14:anchorId="1AD9892C" wp14:editId="3503473B">
            <wp:extent cx="5760720" cy="3353978"/>
            <wp:effectExtent l="0" t="0" r="11430" b="18415"/>
            <wp:docPr id="36" name="Grafikon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2387F" w:rsidRPr="00DE6654" w:rsidRDefault="00B2387F" w:rsidP="00B2387F">
      <w:pPr>
        <w:jc w:val="both"/>
        <w:rPr>
          <w:rFonts w:ascii="Times New Roman" w:hAnsi="Times New Roman" w:cs="Arial"/>
        </w:rPr>
      </w:pPr>
      <w:r w:rsidRPr="0060658A">
        <w:rPr>
          <w:rFonts w:ascii="Times New Roman" w:hAnsi="Times New Roman" w:cs="Arial"/>
        </w:rPr>
        <w:t>Izvor: FINA, 2012</w:t>
      </w:r>
      <w:r w:rsidR="00ED4B90">
        <w:rPr>
          <w:rFonts w:ascii="Times New Roman" w:hAnsi="Times New Roman" w:cs="Arial"/>
        </w:rPr>
        <w:t>, obrada: ZADRA</w:t>
      </w:r>
    </w:p>
    <w:p w:rsidR="008E1E46" w:rsidRPr="00632771" w:rsidRDefault="00AF0CEE" w:rsidP="00781815">
      <w:pPr>
        <w:jc w:val="both"/>
        <w:rPr>
          <w:rFonts w:ascii="Corbel" w:hAnsi="Corbel" w:cs="Times New Roman"/>
          <w:szCs w:val="24"/>
        </w:rPr>
      </w:pPr>
      <w:r w:rsidRPr="00632771">
        <w:rPr>
          <w:rFonts w:ascii="Corbel" w:hAnsi="Corbel" w:cs="Times New Roman"/>
          <w:szCs w:val="24"/>
        </w:rPr>
        <w:t>Rezultati analize temeljnih financijskih pokazatelja poduzetnika</w:t>
      </w:r>
      <w:r w:rsidR="00356251" w:rsidRPr="00632771">
        <w:rPr>
          <w:rFonts w:ascii="Corbel" w:hAnsi="Corbel" w:cs="Times New Roman"/>
          <w:szCs w:val="24"/>
        </w:rPr>
        <w:t xml:space="preserve"> svjedoče o teškim vremenima za </w:t>
      </w:r>
      <w:r w:rsidR="008C3B19" w:rsidRPr="00632771">
        <w:rPr>
          <w:rFonts w:ascii="Corbel" w:hAnsi="Corbel" w:cs="Times New Roman"/>
          <w:szCs w:val="24"/>
        </w:rPr>
        <w:t>poduzetnike. Poduzetnici u Zadru</w:t>
      </w:r>
      <w:r w:rsidR="00356251" w:rsidRPr="00632771">
        <w:rPr>
          <w:rFonts w:ascii="Corbel" w:hAnsi="Corbel" w:cs="Times New Roman"/>
          <w:szCs w:val="24"/>
        </w:rPr>
        <w:t xml:space="preserve"> se suočavaju sa padom prihoda, rastom gubitaka, povećanim dugovanjima i </w:t>
      </w:r>
      <w:r w:rsidR="00620F8B" w:rsidRPr="00632771">
        <w:rPr>
          <w:rFonts w:ascii="Corbel" w:hAnsi="Corbel" w:cs="Times New Roman"/>
          <w:szCs w:val="24"/>
        </w:rPr>
        <w:t xml:space="preserve">sve više ih je s </w:t>
      </w:r>
      <w:r w:rsidR="00356251" w:rsidRPr="00632771">
        <w:rPr>
          <w:rFonts w:ascii="Corbel" w:hAnsi="Corbel" w:cs="Times New Roman"/>
          <w:szCs w:val="24"/>
        </w:rPr>
        <w:t>blokiranim računima. Dinamika kretanja poduzetničkih financijskih rezultata ukazuje na pozitivna zbivanja</w:t>
      </w:r>
      <w:r w:rsidR="008C3B19" w:rsidRPr="00632771">
        <w:rPr>
          <w:rFonts w:ascii="Corbel" w:hAnsi="Corbel" w:cs="Times New Roman"/>
          <w:szCs w:val="24"/>
        </w:rPr>
        <w:t xml:space="preserve"> koja su se dešavala</w:t>
      </w:r>
      <w:r w:rsidR="00620F8B" w:rsidRPr="00632771">
        <w:rPr>
          <w:rFonts w:ascii="Corbel" w:hAnsi="Corbel" w:cs="Times New Roman"/>
          <w:szCs w:val="24"/>
        </w:rPr>
        <w:t xml:space="preserve"> u razdoblju od 2001.do </w:t>
      </w:r>
      <w:r w:rsidR="00356251" w:rsidRPr="00632771">
        <w:rPr>
          <w:rFonts w:ascii="Corbel" w:hAnsi="Corbel" w:cs="Times New Roman"/>
          <w:szCs w:val="24"/>
        </w:rPr>
        <w:t>2008. godine, kada je prema većini pokazatelja poduzetništvo grada raslo više od prosjeka RH. Taj trend je zaustavljen u 2009. godini te se poduzetništvo do danas još nije oporavilo od negativnih ekonomskih kretanja.</w:t>
      </w:r>
    </w:p>
    <w:p w:rsidR="000E3D14" w:rsidRPr="00B37C59" w:rsidRDefault="0041452A" w:rsidP="00B37C59">
      <w:pPr>
        <w:pStyle w:val="Naslov1"/>
        <w:spacing w:after="240"/>
      </w:pPr>
      <w:bookmarkStart w:id="67" w:name="_Toc351539745"/>
      <w:r w:rsidRPr="00B37C59">
        <w:t xml:space="preserve">8. </w:t>
      </w:r>
      <w:r w:rsidR="0097778D" w:rsidRPr="00B37C59">
        <w:t>OBRTNIŠTVO</w:t>
      </w:r>
      <w:bookmarkEnd w:id="67"/>
    </w:p>
    <w:p w:rsidR="00EC2D6C" w:rsidRPr="00632771" w:rsidRDefault="00EC2D6C" w:rsidP="003D0416">
      <w:pPr>
        <w:jc w:val="both"/>
        <w:rPr>
          <w:rFonts w:ascii="Corbel" w:hAnsi="Corbel" w:cs="Arial"/>
        </w:rPr>
      </w:pPr>
      <w:r w:rsidRPr="00632771">
        <w:rPr>
          <w:rFonts w:ascii="Corbel" w:hAnsi="Corbel" w:cs="Arial"/>
        </w:rPr>
        <w:t>Obrti i obrtništvo imaju dugu tradiciju u gradu Zadru i Zadarskoj županiji. Posljednjih</w:t>
      </w:r>
      <w:r w:rsidR="00650B32" w:rsidRPr="00632771">
        <w:rPr>
          <w:rFonts w:ascii="Corbel" w:hAnsi="Corbel" w:cs="Arial"/>
        </w:rPr>
        <w:t xml:space="preserve"> godina uloga obrtništva sve vi</w:t>
      </w:r>
      <w:r w:rsidRPr="00632771">
        <w:rPr>
          <w:rFonts w:ascii="Corbel" w:hAnsi="Corbel" w:cs="Arial"/>
        </w:rPr>
        <w:t xml:space="preserve">še opada, i sve je veći broj </w:t>
      </w:r>
      <w:r w:rsidR="00DE4F74" w:rsidRPr="00632771">
        <w:rPr>
          <w:rFonts w:ascii="Corbel" w:hAnsi="Corbel" w:cs="Arial"/>
        </w:rPr>
        <w:t>osnovanih tvrtki</w:t>
      </w:r>
      <w:r w:rsidR="0075495B" w:rsidRPr="00632771">
        <w:rPr>
          <w:rFonts w:ascii="Corbel" w:hAnsi="Corbel" w:cs="Arial"/>
        </w:rPr>
        <w:t xml:space="preserve"> koji postaju popularniji oblik poslovnog subjekta. Neki od razloga</w:t>
      </w:r>
      <w:r w:rsidR="00650B32" w:rsidRPr="00632771">
        <w:rPr>
          <w:rFonts w:ascii="Corbel" w:hAnsi="Corbel" w:cs="Arial"/>
        </w:rPr>
        <w:t xml:space="preserve"> nestajanja obrta</w:t>
      </w:r>
      <w:r w:rsidR="0075495B" w:rsidRPr="00632771">
        <w:rPr>
          <w:rFonts w:ascii="Corbel" w:hAnsi="Corbel" w:cs="Arial"/>
        </w:rPr>
        <w:t xml:space="preserve"> mogu se tražiti u odumiranju tradicionalnih obrtničkih djelatnosti, ali i u nepovoljnim zakonodavno-r</w:t>
      </w:r>
      <w:r w:rsidR="00DE4F74" w:rsidRPr="00632771">
        <w:rPr>
          <w:rFonts w:ascii="Corbel" w:hAnsi="Corbel" w:cs="Arial"/>
        </w:rPr>
        <w:t xml:space="preserve">egulatornim uvjetima za obrte. </w:t>
      </w:r>
    </w:p>
    <w:p w:rsidR="00DE4F74" w:rsidRPr="00632771" w:rsidRDefault="00843DB0" w:rsidP="003D0416">
      <w:pPr>
        <w:jc w:val="both"/>
        <w:rPr>
          <w:rFonts w:ascii="Corbel" w:hAnsi="Corbel" w:cs="Arial"/>
        </w:rPr>
      </w:pPr>
      <w:r w:rsidRPr="00632771">
        <w:rPr>
          <w:rFonts w:ascii="Corbel" w:hAnsi="Corbel" w:cs="Arial"/>
        </w:rPr>
        <w:t>Za grad i gradski identitet je važno da se tradicija obrtništva nastavi, stoga je</w:t>
      </w:r>
      <w:r w:rsidR="009535FE" w:rsidRPr="00632771">
        <w:rPr>
          <w:rFonts w:ascii="Corbel" w:hAnsi="Corbel" w:cs="Arial"/>
        </w:rPr>
        <w:t xml:space="preserve"> posebno</w:t>
      </w:r>
      <w:r w:rsidRPr="00632771">
        <w:rPr>
          <w:rFonts w:ascii="Corbel" w:hAnsi="Corbel" w:cs="Arial"/>
        </w:rPr>
        <w:t xml:space="preserve"> bitno zaštititi i očuvati postojeće </w:t>
      </w:r>
      <w:r w:rsidRPr="00632771">
        <w:rPr>
          <w:rFonts w:ascii="Corbel" w:hAnsi="Corbel" w:cs="Arial"/>
          <w:b/>
        </w:rPr>
        <w:t>tradicijske obrte</w:t>
      </w:r>
      <w:r w:rsidRPr="00632771">
        <w:rPr>
          <w:rStyle w:val="Referencafusnote"/>
          <w:rFonts w:ascii="Corbel" w:hAnsi="Corbel" w:cs="Arial"/>
          <w:b/>
        </w:rPr>
        <w:footnoteReference w:id="16"/>
      </w:r>
      <w:r w:rsidRPr="00632771">
        <w:rPr>
          <w:rFonts w:ascii="Corbel" w:hAnsi="Corbel" w:cs="Arial"/>
        </w:rPr>
        <w:t xml:space="preserve"> grada. Neki od </w:t>
      </w:r>
      <w:r w:rsidR="009535FE" w:rsidRPr="00632771">
        <w:rPr>
          <w:rFonts w:ascii="Corbel" w:hAnsi="Corbel" w:cs="Arial"/>
        </w:rPr>
        <w:t>dugovječnih</w:t>
      </w:r>
      <w:r w:rsidRPr="00632771">
        <w:rPr>
          <w:rFonts w:ascii="Corbel" w:hAnsi="Corbel" w:cs="Arial"/>
        </w:rPr>
        <w:t xml:space="preserve"> </w:t>
      </w:r>
      <w:r w:rsidR="009535FE" w:rsidRPr="00632771">
        <w:rPr>
          <w:rFonts w:ascii="Corbel" w:hAnsi="Corbel" w:cs="Arial"/>
        </w:rPr>
        <w:t xml:space="preserve">tradicijskih </w:t>
      </w:r>
      <w:r w:rsidRPr="00632771">
        <w:rPr>
          <w:rFonts w:ascii="Corbel" w:hAnsi="Corbel" w:cs="Arial"/>
        </w:rPr>
        <w:t>obrtničkih zanimanja koji djeluju još i danas na području grada su:</w:t>
      </w:r>
    </w:p>
    <w:p w:rsidR="00843DB0" w:rsidRPr="00632771" w:rsidRDefault="00843DB0" w:rsidP="00843DB0">
      <w:pPr>
        <w:pStyle w:val="Odlomakpopisa"/>
        <w:numPr>
          <w:ilvl w:val="0"/>
          <w:numId w:val="24"/>
        </w:numPr>
        <w:jc w:val="both"/>
        <w:rPr>
          <w:rFonts w:ascii="Corbel" w:hAnsi="Corbel" w:cs="Arial"/>
          <w:b/>
        </w:rPr>
      </w:pPr>
      <w:proofErr w:type="spellStart"/>
      <w:r w:rsidRPr="00632771">
        <w:rPr>
          <w:rFonts w:ascii="Corbel" w:hAnsi="Corbel" w:cs="Arial"/>
          <w:b/>
        </w:rPr>
        <w:t>Barkarjoli</w:t>
      </w:r>
      <w:proofErr w:type="spellEnd"/>
      <w:r w:rsidRPr="00632771">
        <w:rPr>
          <w:rFonts w:ascii="Corbel" w:hAnsi="Corbel" w:cs="Arial"/>
          <w:b/>
        </w:rPr>
        <w:t xml:space="preserve"> </w:t>
      </w:r>
    </w:p>
    <w:p w:rsidR="00843DB0" w:rsidRPr="00632771" w:rsidRDefault="00843DB0" w:rsidP="00843DB0">
      <w:pPr>
        <w:pStyle w:val="Odlomakpopisa"/>
        <w:numPr>
          <w:ilvl w:val="0"/>
          <w:numId w:val="24"/>
        </w:numPr>
        <w:jc w:val="both"/>
        <w:rPr>
          <w:rFonts w:ascii="Corbel" w:hAnsi="Corbel" w:cs="Arial"/>
          <w:b/>
        </w:rPr>
      </w:pPr>
      <w:r w:rsidRPr="00632771">
        <w:rPr>
          <w:rFonts w:ascii="Corbel" w:hAnsi="Corbel" w:cs="Arial"/>
          <w:b/>
        </w:rPr>
        <w:lastRenderedPageBreak/>
        <w:t>Brusači</w:t>
      </w:r>
    </w:p>
    <w:p w:rsidR="00843DB0" w:rsidRPr="00632771" w:rsidRDefault="00843DB0" w:rsidP="00843DB0">
      <w:pPr>
        <w:pStyle w:val="Odlomakpopisa"/>
        <w:numPr>
          <w:ilvl w:val="0"/>
          <w:numId w:val="24"/>
        </w:numPr>
        <w:jc w:val="both"/>
        <w:rPr>
          <w:rFonts w:ascii="Corbel" w:hAnsi="Corbel" w:cs="Arial"/>
          <w:b/>
        </w:rPr>
      </w:pPr>
      <w:r w:rsidRPr="00632771">
        <w:rPr>
          <w:rFonts w:ascii="Corbel" w:hAnsi="Corbel" w:cs="Arial"/>
          <w:b/>
        </w:rPr>
        <w:t>Postolari</w:t>
      </w:r>
    </w:p>
    <w:p w:rsidR="00843DB0" w:rsidRPr="00632771" w:rsidRDefault="00843DB0" w:rsidP="00843DB0">
      <w:pPr>
        <w:pStyle w:val="Odlomakpopisa"/>
        <w:numPr>
          <w:ilvl w:val="0"/>
          <w:numId w:val="24"/>
        </w:numPr>
        <w:jc w:val="both"/>
        <w:rPr>
          <w:rFonts w:ascii="Corbel" w:hAnsi="Corbel" w:cs="Arial"/>
          <w:b/>
        </w:rPr>
      </w:pPr>
      <w:r w:rsidRPr="00632771">
        <w:rPr>
          <w:rFonts w:ascii="Corbel" w:hAnsi="Corbel" w:cs="Arial"/>
          <w:b/>
        </w:rPr>
        <w:t>Keramičari</w:t>
      </w:r>
    </w:p>
    <w:p w:rsidR="00843DB0" w:rsidRPr="00632771" w:rsidRDefault="009535FE" w:rsidP="00843DB0">
      <w:pPr>
        <w:pStyle w:val="Odlomakpopisa"/>
        <w:numPr>
          <w:ilvl w:val="0"/>
          <w:numId w:val="24"/>
        </w:numPr>
        <w:jc w:val="both"/>
        <w:rPr>
          <w:rFonts w:ascii="Corbel" w:hAnsi="Corbel" w:cs="Arial"/>
          <w:b/>
        </w:rPr>
      </w:pPr>
      <w:r w:rsidRPr="00632771">
        <w:rPr>
          <w:rFonts w:ascii="Corbel" w:hAnsi="Corbel" w:cs="Arial"/>
          <w:b/>
        </w:rPr>
        <w:t>Svjećari</w:t>
      </w:r>
    </w:p>
    <w:p w:rsidR="00843DB0" w:rsidRPr="00632771" w:rsidRDefault="00843DB0" w:rsidP="00843DB0">
      <w:pPr>
        <w:pStyle w:val="Odlomakpopisa"/>
        <w:numPr>
          <w:ilvl w:val="0"/>
          <w:numId w:val="24"/>
        </w:numPr>
        <w:jc w:val="both"/>
        <w:rPr>
          <w:rFonts w:ascii="Corbel" w:hAnsi="Corbel" w:cs="Arial"/>
          <w:b/>
        </w:rPr>
      </w:pPr>
      <w:r w:rsidRPr="00632771">
        <w:rPr>
          <w:rFonts w:ascii="Corbel" w:hAnsi="Corbel" w:cs="Arial"/>
          <w:b/>
        </w:rPr>
        <w:t>Urari, i sl.</w:t>
      </w:r>
    </w:p>
    <w:p w:rsidR="000E3D14" w:rsidRPr="00632771" w:rsidRDefault="00EC2D6C" w:rsidP="003D0416">
      <w:pPr>
        <w:jc w:val="both"/>
        <w:rPr>
          <w:rFonts w:ascii="Corbel" w:hAnsi="Corbel" w:cs="Arial"/>
        </w:rPr>
      </w:pPr>
      <w:r w:rsidRPr="00632771">
        <w:rPr>
          <w:rFonts w:ascii="Corbel" w:hAnsi="Corbel" w:cs="Arial"/>
        </w:rPr>
        <w:t xml:space="preserve">Analiza obrtništva temelji se na izviješćima </w:t>
      </w:r>
      <w:proofErr w:type="spellStart"/>
      <w:r w:rsidRPr="00632771">
        <w:rPr>
          <w:rFonts w:ascii="Corbel" w:hAnsi="Corbel" w:cs="Arial"/>
        </w:rPr>
        <w:t>HOK</w:t>
      </w:r>
      <w:proofErr w:type="spellEnd"/>
      <w:r w:rsidRPr="00632771">
        <w:rPr>
          <w:rFonts w:ascii="Corbel" w:hAnsi="Corbel" w:cs="Arial"/>
        </w:rPr>
        <w:t xml:space="preserve">-a u kojima su obrađeni podaci o obrtima za područje Zadarske županije. Za samo područje grada Zadra ne raspolažemo strukturno poslovnim podacima o obrtima, no najvažniji zaključci o kretanjima u obrtništvu mogu se vidjeti iz kretanja obrtništva na županijskom nivou. </w:t>
      </w:r>
    </w:p>
    <w:p w:rsidR="00AD6B3D" w:rsidRPr="00632771" w:rsidRDefault="00CB4642" w:rsidP="003D0416">
      <w:pPr>
        <w:jc w:val="both"/>
        <w:rPr>
          <w:rFonts w:ascii="Corbel" w:hAnsi="Corbel" w:cs="Arial"/>
        </w:rPr>
      </w:pPr>
      <w:r w:rsidRPr="00632771">
        <w:rPr>
          <w:rFonts w:ascii="Corbel" w:hAnsi="Corbel" w:cs="Arial"/>
        </w:rPr>
        <w:t xml:space="preserve">Prema podacima poslovnog alata „Poslovna Hrvatska“ vidljivo je kako je u Zadru aktivno 2.073 obrta, dok je na županijskom nivou </w:t>
      </w:r>
      <w:r w:rsidRPr="00632771">
        <w:rPr>
          <w:rFonts w:ascii="Corbel" w:hAnsi="Corbel" w:cs="Arial"/>
          <w:b/>
        </w:rPr>
        <w:t xml:space="preserve">4.782 aktivna obrta prema podacima </w:t>
      </w:r>
      <w:proofErr w:type="spellStart"/>
      <w:r w:rsidR="001141E4" w:rsidRPr="00632771">
        <w:rPr>
          <w:rFonts w:ascii="Corbel" w:hAnsi="Corbel" w:cs="Arial"/>
          <w:b/>
        </w:rPr>
        <w:t>HOK</w:t>
      </w:r>
      <w:proofErr w:type="spellEnd"/>
      <w:r w:rsidRPr="00632771">
        <w:rPr>
          <w:rFonts w:ascii="Corbel" w:hAnsi="Corbel" w:cs="Arial"/>
          <w:b/>
        </w:rPr>
        <w:t>-a</w:t>
      </w:r>
      <w:r w:rsidR="008C5577" w:rsidRPr="00632771">
        <w:rPr>
          <w:rFonts w:ascii="Corbel" w:hAnsi="Corbel" w:cs="Arial"/>
        </w:rPr>
        <w:t xml:space="preserve">. Dakle, </w:t>
      </w:r>
      <w:r w:rsidR="001141E4" w:rsidRPr="00632771">
        <w:rPr>
          <w:rFonts w:ascii="Corbel" w:hAnsi="Corbel" w:cs="Arial"/>
        </w:rPr>
        <w:t xml:space="preserve">oko </w:t>
      </w:r>
      <w:r w:rsidRPr="00632771">
        <w:rPr>
          <w:rFonts w:ascii="Corbel" w:hAnsi="Corbel" w:cs="Arial"/>
          <w:b/>
        </w:rPr>
        <w:t>43%</w:t>
      </w:r>
      <w:r w:rsidR="008C5577" w:rsidRPr="00632771">
        <w:rPr>
          <w:rFonts w:ascii="Corbel" w:hAnsi="Corbel" w:cs="Arial"/>
          <w:b/>
        </w:rPr>
        <w:t xml:space="preserve"> svih obrta u županiji smješteno je u </w:t>
      </w:r>
      <w:r w:rsidR="004A33B3" w:rsidRPr="00632771">
        <w:rPr>
          <w:rFonts w:ascii="Corbel" w:hAnsi="Corbel" w:cs="Arial"/>
          <w:b/>
        </w:rPr>
        <w:t xml:space="preserve">gradu </w:t>
      </w:r>
      <w:r w:rsidR="008C5577" w:rsidRPr="00632771">
        <w:rPr>
          <w:rFonts w:ascii="Corbel" w:hAnsi="Corbel" w:cs="Arial"/>
          <w:b/>
        </w:rPr>
        <w:t>Zadru</w:t>
      </w:r>
      <w:r w:rsidRPr="00632771">
        <w:rPr>
          <w:rFonts w:ascii="Corbel" w:hAnsi="Corbel" w:cs="Arial"/>
        </w:rPr>
        <w:t xml:space="preserve">. </w:t>
      </w:r>
    </w:p>
    <w:p w:rsidR="001141E4" w:rsidRPr="00632771" w:rsidRDefault="001141E4" w:rsidP="003D0416">
      <w:pPr>
        <w:jc w:val="both"/>
        <w:rPr>
          <w:rFonts w:ascii="Corbel" w:hAnsi="Corbel" w:cs="Arial"/>
        </w:rPr>
      </w:pPr>
      <w:r w:rsidRPr="00632771">
        <w:rPr>
          <w:rFonts w:ascii="Corbel" w:hAnsi="Corbel" w:cs="Arial"/>
          <w:b/>
        </w:rPr>
        <w:t>P</w:t>
      </w:r>
      <w:r w:rsidRPr="00632771">
        <w:rPr>
          <w:rFonts w:ascii="Corbel" w:hAnsi="Corbel" w:cs="Arial"/>
        </w:rPr>
        <w:t xml:space="preserve">rema broju obrta </w:t>
      </w:r>
      <w:r w:rsidRPr="00632771">
        <w:rPr>
          <w:rFonts w:ascii="Corbel" w:hAnsi="Corbel" w:cs="Arial"/>
          <w:b/>
        </w:rPr>
        <w:t>Zadarska županija je među prvim županijama u RH</w:t>
      </w:r>
      <w:r w:rsidRPr="00632771">
        <w:rPr>
          <w:rFonts w:ascii="Corbel" w:hAnsi="Corbel" w:cs="Arial"/>
        </w:rPr>
        <w:t>, iza Splitsko dalmatinske (10.167), Primorsko goranske (8.478), Istarske (8.033) i Zagrebačke županije (5.995), te ispred županija poput Osječko baranjske, Varaždinske itd.</w:t>
      </w:r>
    </w:p>
    <w:p w:rsidR="004A33B3" w:rsidRPr="00632771" w:rsidRDefault="004A33B3" w:rsidP="003D0416">
      <w:pPr>
        <w:jc w:val="both"/>
        <w:rPr>
          <w:rFonts w:ascii="Corbel" w:hAnsi="Corbel" w:cs="Arial"/>
        </w:rPr>
      </w:pPr>
      <w:r w:rsidRPr="00632771">
        <w:rPr>
          <w:rFonts w:ascii="Corbel" w:hAnsi="Corbel" w:cs="Arial"/>
        </w:rPr>
        <w:t>Premda broj obrta kontinuirano opada, u</w:t>
      </w:r>
      <w:r w:rsidRPr="00632771">
        <w:rPr>
          <w:rFonts w:ascii="Corbel" w:hAnsi="Corbel" w:cs="Arial"/>
          <w:b/>
        </w:rPr>
        <w:t xml:space="preserve"> Zadarskoj županiji još uvijek prevladavaju obrti naspram trgovačkih društava</w:t>
      </w:r>
      <w:r w:rsidRPr="00632771">
        <w:rPr>
          <w:rFonts w:ascii="Corbel" w:hAnsi="Corbel" w:cs="Arial"/>
        </w:rPr>
        <w:t xml:space="preserve">. No, to je trend koji se mijenja u korist trgovačkih društava, pa tako na </w:t>
      </w:r>
      <w:r w:rsidRPr="00632771">
        <w:rPr>
          <w:rFonts w:ascii="Corbel" w:hAnsi="Corbel" w:cs="Arial"/>
          <w:b/>
        </w:rPr>
        <w:t>nacionalnoj razini prevladavaju trgovačka društva u odnosu na obrte</w:t>
      </w:r>
      <w:r w:rsidRPr="00632771">
        <w:rPr>
          <w:rFonts w:ascii="Corbel" w:hAnsi="Corbel" w:cs="Arial"/>
        </w:rPr>
        <w:t>.</w:t>
      </w:r>
    </w:p>
    <w:p w:rsidR="004A33B3" w:rsidRDefault="004A33B3" w:rsidP="004A33B3">
      <w:pPr>
        <w:pStyle w:val="Opisslike"/>
        <w:keepNext/>
      </w:pPr>
      <w:bookmarkStart w:id="68" w:name="_Toc351538500"/>
      <w:r>
        <w:t xml:space="preserve">Slika </w:t>
      </w:r>
      <w:fldSimple w:instr=" SEQ Slika \* ARABIC ">
        <w:r w:rsidR="001E7A09">
          <w:rPr>
            <w:noProof/>
          </w:rPr>
          <w:t>37</w:t>
        </w:r>
      </w:fldSimple>
      <w:r>
        <w:t xml:space="preserve">.: Odnos trgovačkih društava i obrta u </w:t>
      </w:r>
      <w:proofErr w:type="spellStart"/>
      <w:r>
        <w:t>ZŽ</w:t>
      </w:r>
      <w:proofErr w:type="spellEnd"/>
      <w:r>
        <w:t xml:space="preserve"> i RH</w:t>
      </w:r>
      <w:bookmarkEnd w:id="68"/>
    </w:p>
    <w:tbl>
      <w:tblPr>
        <w:tblW w:w="9144" w:type="dxa"/>
        <w:tblInd w:w="108" w:type="dxa"/>
        <w:tblLook w:val="04A0" w:firstRow="1" w:lastRow="0" w:firstColumn="1" w:lastColumn="0" w:noHBand="0" w:noVBand="1"/>
      </w:tblPr>
      <w:tblGrid>
        <w:gridCol w:w="1176"/>
        <w:gridCol w:w="976"/>
        <w:gridCol w:w="976"/>
        <w:gridCol w:w="976"/>
        <w:gridCol w:w="976"/>
        <w:gridCol w:w="976"/>
        <w:gridCol w:w="976"/>
        <w:gridCol w:w="976"/>
        <w:gridCol w:w="1136"/>
      </w:tblGrid>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r>
              <w:rPr>
                <w:rFonts w:ascii="Calibri" w:eastAsia="Times New Roman" w:hAnsi="Calibri" w:cs="Times New Roman"/>
                <w:noProof/>
                <w:color w:val="000000"/>
                <w:lang w:eastAsia="hr-HR"/>
              </w:rPr>
              <w:drawing>
                <wp:anchor distT="0" distB="0" distL="114300" distR="114300" simplePos="0" relativeHeight="251662336" behindDoc="0" locked="0" layoutInCell="1" allowOverlap="1" wp14:anchorId="33734AA5" wp14:editId="69036EF6">
                  <wp:simplePos x="0" y="0"/>
                  <wp:positionH relativeFrom="column">
                    <wp:posOffset>2762250</wp:posOffset>
                  </wp:positionH>
                  <wp:positionV relativeFrom="paragraph">
                    <wp:posOffset>9525</wp:posOffset>
                  </wp:positionV>
                  <wp:extent cx="2705100" cy="2066925"/>
                  <wp:effectExtent l="0" t="0" r="19050" b="9525"/>
                  <wp:wrapNone/>
                  <wp:docPr id="51" name="Grafikon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r>
              <w:rPr>
                <w:rFonts w:ascii="Calibri" w:eastAsia="Times New Roman" w:hAnsi="Calibri" w:cs="Times New Roman"/>
                <w:noProof/>
                <w:color w:val="000000"/>
                <w:lang w:eastAsia="hr-HR"/>
              </w:rPr>
              <w:drawing>
                <wp:anchor distT="0" distB="0" distL="114300" distR="114300" simplePos="0" relativeHeight="251663360" behindDoc="0" locked="0" layoutInCell="1" allowOverlap="1" wp14:anchorId="43C4B719" wp14:editId="6CB10ADA">
                  <wp:simplePos x="0" y="0"/>
                  <wp:positionH relativeFrom="column">
                    <wp:posOffset>28575</wp:posOffset>
                  </wp:positionH>
                  <wp:positionV relativeFrom="paragraph">
                    <wp:posOffset>9525</wp:posOffset>
                  </wp:positionV>
                  <wp:extent cx="2743200" cy="2066925"/>
                  <wp:effectExtent l="0" t="0" r="19050" b="9525"/>
                  <wp:wrapNone/>
                  <wp:docPr id="52" name="Grafikon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60"/>
            </w:tblGrid>
            <w:tr w:rsidR="004A33B3" w:rsidRPr="00AD6B3D" w:rsidTr="007C5DCF">
              <w:trPr>
                <w:trHeight w:val="300"/>
                <w:tblCellSpacing w:w="0" w:type="dxa"/>
              </w:trPr>
              <w:tc>
                <w:tcPr>
                  <w:tcW w:w="960"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bl>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300"/>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r w:rsidR="004A33B3" w:rsidRPr="00AD6B3D" w:rsidTr="007C5DCF">
        <w:trPr>
          <w:trHeight w:val="87"/>
        </w:trPr>
        <w:tc>
          <w:tcPr>
            <w:tcW w:w="11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97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c>
          <w:tcPr>
            <w:tcW w:w="1136" w:type="dxa"/>
            <w:tcBorders>
              <w:top w:val="nil"/>
              <w:left w:val="nil"/>
              <w:bottom w:val="nil"/>
              <w:right w:val="nil"/>
            </w:tcBorders>
            <w:shd w:val="clear" w:color="auto" w:fill="auto"/>
            <w:noWrap/>
            <w:vAlign w:val="bottom"/>
            <w:hideMark/>
          </w:tcPr>
          <w:p w:rsidR="004A33B3" w:rsidRPr="00AD6B3D" w:rsidRDefault="004A33B3" w:rsidP="007C5DCF">
            <w:pPr>
              <w:spacing w:after="0" w:line="240" w:lineRule="auto"/>
              <w:rPr>
                <w:rFonts w:ascii="Calibri" w:eastAsia="Times New Roman" w:hAnsi="Calibri" w:cs="Times New Roman"/>
                <w:color w:val="000000"/>
                <w:lang w:eastAsia="hr-HR"/>
              </w:rPr>
            </w:pPr>
          </w:p>
        </w:tc>
      </w:tr>
    </w:tbl>
    <w:p w:rsidR="004A33B3" w:rsidRPr="004E017E" w:rsidRDefault="004A33B3" w:rsidP="004A33B3">
      <w:pPr>
        <w:jc w:val="both"/>
        <w:rPr>
          <w:rFonts w:ascii="Times New Roman" w:hAnsi="Times New Roman" w:cs="Arial"/>
          <w:sz w:val="20"/>
        </w:rPr>
      </w:pPr>
      <w:r w:rsidRPr="004E017E">
        <w:rPr>
          <w:rFonts w:ascii="Times New Roman" w:hAnsi="Times New Roman" w:cs="Arial"/>
          <w:sz w:val="20"/>
        </w:rPr>
        <w:t xml:space="preserve">Izvor: DZS, Stat. priopćenja, KNJIGA OBRTNIKA – članova </w:t>
      </w:r>
      <w:proofErr w:type="spellStart"/>
      <w:r w:rsidRPr="004E017E">
        <w:rPr>
          <w:rFonts w:ascii="Times New Roman" w:hAnsi="Times New Roman" w:cs="Arial"/>
          <w:sz w:val="20"/>
        </w:rPr>
        <w:t>HOK</w:t>
      </w:r>
      <w:proofErr w:type="spellEnd"/>
      <w:r w:rsidRPr="004E017E">
        <w:rPr>
          <w:rFonts w:ascii="Cambria Math" w:hAnsi="Cambria Math" w:cs="Cambria Math"/>
          <w:sz w:val="20"/>
        </w:rPr>
        <w:t>‐</w:t>
      </w:r>
      <w:r w:rsidRPr="004E017E">
        <w:rPr>
          <w:rFonts w:ascii="Times New Roman" w:hAnsi="Times New Roman" w:cs="Arial"/>
          <w:sz w:val="20"/>
        </w:rPr>
        <w:t>a, 31.12.2011</w:t>
      </w:r>
      <w:r>
        <w:rPr>
          <w:rFonts w:ascii="Times New Roman" w:hAnsi="Times New Roman" w:cs="Arial"/>
          <w:sz w:val="20"/>
        </w:rPr>
        <w:t>, obrada: ZADRA</w:t>
      </w:r>
    </w:p>
    <w:p w:rsidR="004A33B3" w:rsidRPr="00632771" w:rsidRDefault="004A33B3" w:rsidP="003D0416">
      <w:pPr>
        <w:jc w:val="both"/>
        <w:rPr>
          <w:rFonts w:ascii="Corbel" w:hAnsi="Corbel" w:cs="Arial"/>
        </w:rPr>
      </w:pPr>
      <w:r w:rsidRPr="00632771">
        <w:rPr>
          <w:rFonts w:ascii="Corbel" w:hAnsi="Corbel" w:cs="Arial"/>
        </w:rPr>
        <w:t xml:space="preserve">Ako razmotrimo </w:t>
      </w:r>
      <w:r w:rsidR="001141E4" w:rsidRPr="00632771">
        <w:rPr>
          <w:rFonts w:ascii="Corbel" w:hAnsi="Corbel" w:cs="Arial"/>
        </w:rPr>
        <w:t xml:space="preserve">kretanje broja obrta u posljednjih 6 godina zamjetno je kako </w:t>
      </w:r>
      <w:r w:rsidR="001141E4" w:rsidRPr="00632771">
        <w:rPr>
          <w:rFonts w:ascii="Corbel" w:hAnsi="Corbel" w:cs="Arial"/>
          <w:b/>
        </w:rPr>
        <w:t>broj obrta kontinuirano opada</w:t>
      </w:r>
      <w:r w:rsidR="001141E4" w:rsidRPr="00632771">
        <w:rPr>
          <w:rFonts w:ascii="Corbel" w:hAnsi="Corbel" w:cs="Arial"/>
        </w:rPr>
        <w:t>, te je u 2011. godini na razini 89% od 2006</w:t>
      </w:r>
      <w:r w:rsidR="009535FE" w:rsidRPr="00632771">
        <w:rPr>
          <w:rFonts w:ascii="Corbel" w:hAnsi="Corbel" w:cs="Arial"/>
        </w:rPr>
        <w:t>.</w:t>
      </w:r>
      <w:r w:rsidR="001141E4" w:rsidRPr="00632771">
        <w:rPr>
          <w:rFonts w:ascii="Corbel" w:hAnsi="Corbel" w:cs="Arial"/>
        </w:rPr>
        <w:t>, kada je obrta bilo 5.331. Na nacionalnoj razini nestajanje obrta je još izraženije.</w:t>
      </w:r>
    </w:p>
    <w:p w:rsidR="00ED4B90" w:rsidRDefault="00ED4B90" w:rsidP="00ED4B90">
      <w:pPr>
        <w:pStyle w:val="Opisslike"/>
        <w:keepNext/>
        <w:jc w:val="both"/>
      </w:pPr>
      <w:bookmarkStart w:id="69" w:name="_Toc351538501"/>
      <w:r>
        <w:lastRenderedPageBreak/>
        <w:t xml:space="preserve">Slika </w:t>
      </w:r>
      <w:fldSimple w:instr=" SEQ Slika \* ARABIC ">
        <w:r w:rsidR="001E7A09">
          <w:rPr>
            <w:noProof/>
          </w:rPr>
          <w:t>38</w:t>
        </w:r>
      </w:fldSimple>
      <w:r>
        <w:t>.: Indeks broja aktivnih obrta za Zadarsku županiju i RH od 2006. do 2011., 2006.=100</w:t>
      </w:r>
      <w:bookmarkEnd w:id="69"/>
    </w:p>
    <w:p w:rsidR="00ED4B90" w:rsidRDefault="00ED4B90" w:rsidP="00ED4B90">
      <w:pPr>
        <w:spacing w:after="0"/>
        <w:jc w:val="both"/>
        <w:rPr>
          <w:rFonts w:ascii="Times New Roman" w:hAnsi="Times New Roman" w:cs="Arial"/>
        </w:rPr>
      </w:pPr>
      <w:r>
        <w:rPr>
          <w:noProof/>
          <w:lang w:eastAsia="hr-HR"/>
        </w:rPr>
        <w:drawing>
          <wp:inline distT="0" distB="0" distL="0" distR="0" wp14:anchorId="23B38AF4" wp14:editId="39E6691D">
            <wp:extent cx="4763386" cy="2626242"/>
            <wp:effectExtent l="0" t="0" r="18415" b="22225"/>
            <wp:docPr id="48" name="Grafikon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ED4B90" w:rsidRPr="001141E4" w:rsidRDefault="00ED4B90" w:rsidP="003D0416">
      <w:pPr>
        <w:jc w:val="both"/>
        <w:rPr>
          <w:rFonts w:ascii="Times New Roman" w:hAnsi="Times New Roman" w:cs="Arial"/>
          <w:sz w:val="20"/>
        </w:rPr>
      </w:pPr>
      <w:r w:rsidRPr="001141E4">
        <w:rPr>
          <w:rFonts w:ascii="Times New Roman" w:hAnsi="Times New Roman" w:cs="Arial"/>
          <w:sz w:val="20"/>
        </w:rPr>
        <w:t xml:space="preserve">Izvor: KNJIGA OBRTNIKA – članova </w:t>
      </w:r>
      <w:proofErr w:type="spellStart"/>
      <w:r w:rsidRPr="001141E4">
        <w:rPr>
          <w:rFonts w:ascii="Times New Roman" w:hAnsi="Times New Roman" w:cs="Arial"/>
          <w:sz w:val="20"/>
        </w:rPr>
        <w:t>HOK</w:t>
      </w:r>
      <w:proofErr w:type="spellEnd"/>
      <w:r w:rsidRPr="001141E4">
        <w:rPr>
          <w:rFonts w:ascii="Times New Roman" w:hAnsi="Times New Roman" w:cs="Arial"/>
          <w:sz w:val="20"/>
        </w:rPr>
        <w:t>-a; 31.12.2011. (podaci za aktivne obrte); obrada ZADRA</w:t>
      </w:r>
    </w:p>
    <w:p w:rsidR="00CB4642" w:rsidRPr="00632771" w:rsidRDefault="00066CA7" w:rsidP="003D0416">
      <w:pPr>
        <w:jc w:val="both"/>
        <w:rPr>
          <w:rFonts w:ascii="Corbel" w:hAnsi="Corbel" w:cs="Arial"/>
        </w:rPr>
      </w:pPr>
      <w:r w:rsidRPr="00632771">
        <w:rPr>
          <w:rFonts w:ascii="Corbel" w:hAnsi="Corbel" w:cs="Arial"/>
        </w:rPr>
        <w:t>I</w:t>
      </w:r>
      <w:r w:rsidR="00CB4642" w:rsidRPr="00632771">
        <w:rPr>
          <w:rFonts w:ascii="Corbel" w:hAnsi="Corbel" w:cs="Arial"/>
        </w:rPr>
        <w:t>z prethodne analize tržišta rada</w:t>
      </w:r>
      <w:r w:rsidRPr="00632771">
        <w:rPr>
          <w:rFonts w:ascii="Corbel" w:hAnsi="Corbel" w:cs="Arial"/>
        </w:rPr>
        <w:t xml:space="preserve"> ovdje su </w:t>
      </w:r>
      <w:r w:rsidR="008C5577" w:rsidRPr="00632771">
        <w:rPr>
          <w:rFonts w:ascii="Corbel" w:hAnsi="Corbel" w:cs="Arial"/>
        </w:rPr>
        <w:t xml:space="preserve"> </w:t>
      </w:r>
      <w:r w:rsidRPr="00632771">
        <w:rPr>
          <w:rFonts w:ascii="Corbel" w:hAnsi="Corbel" w:cs="Arial"/>
        </w:rPr>
        <w:t>izdvojeni po</w:t>
      </w:r>
      <w:r w:rsidR="008C5577" w:rsidRPr="00632771">
        <w:rPr>
          <w:rFonts w:ascii="Corbel" w:hAnsi="Corbel" w:cs="Arial"/>
        </w:rPr>
        <w:t xml:space="preserve">daci </w:t>
      </w:r>
      <w:r w:rsidRPr="00632771">
        <w:rPr>
          <w:rFonts w:ascii="Corbel" w:hAnsi="Corbel" w:cs="Arial"/>
        </w:rPr>
        <w:t>o</w:t>
      </w:r>
      <w:r w:rsidR="008C5577" w:rsidRPr="00632771">
        <w:rPr>
          <w:rFonts w:ascii="Corbel" w:hAnsi="Corbel" w:cs="Arial"/>
        </w:rPr>
        <w:t xml:space="preserve"> zaposlenima u  </w:t>
      </w:r>
      <w:r w:rsidRPr="00632771">
        <w:rPr>
          <w:rFonts w:ascii="Corbel" w:hAnsi="Corbel" w:cs="Arial"/>
        </w:rPr>
        <w:t>obrtu za područje grada Zadra (temeljem podataka mirovinskog osiguranja)</w:t>
      </w:r>
      <w:r w:rsidR="00D37350" w:rsidRPr="00632771">
        <w:rPr>
          <w:rStyle w:val="Referencafusnote"/>
          <w:rFonts w:ascii="Corbel" w:hAnsi="Corbel" w:cs="Arial"/>
        </w:rPr>
        <w:footnoteReference w:id="17"/>
      </w:r>
      <w:r w:rsidR="00592BB5" w:rsidRPr="00632771">
        <w:rPr>
          <w:rFonts w:ascii="Corbel" w:hAnsi="Corbel" w:cs="Arial"/>
        </w:rPr>
        <w:t>.</w:t>
      </w:r>
    </w:p>
    <w:p w:rsidR="00EB6FC5" w:rsidRPr="00632771" w:rsidRDefault="00EB6FC5" w:rsidP="00EB6FC5">
      <w:pPr>
        <w:pStyle w:val="Opisslike"/>
        <w:keepNext/>
        <w:rPr>
          <w:rFonts w:ascii="Corbel" w:hAnsi="Corbel"/>
        </w:rPr>
      </w:pPr>
      <w:bookmarkStart w:id="70" w:name="_Toc351538420"/>
      <w:r w:rsidRPr="00632771">
        <w:rPr>
          <w:rFonts w:ascii="Corbel" w:hAnsi="Corbel"/>
        </w:rPr>
        <w:t xml:space="preserve">Tablica </w:t>
      </w:r>
      <w:r w:rsidR="00372D39" w:rsidRPr="00632771">
        <w:rPr>
          <w:rFonts w:ascii="Corbel" w:hAnsi="Corbel"/>
        </w:rPr>
        <w:fldChar w:fldCharType="begin"/>
      </w:r>
      <w:r w:rsidR="00372D39" w:rsidRPr="00632771">
        <w:rPr>
          <w:rFonts w:ascii="Corbel" w:hAnsi="Corbel"/>
        </w:rPr>
        <w:instrText xml:space="preserve"> SEQ Tablica \* ARABIC </w:instrText>
      </w:r>
      <w:r w:rsidR="00372D39" w:rsidRPr="00632771">
        <w:rPr>
          <w:rFonts w:ascii="Corbel" w:hAnsi="Corbel"/>
        </w:rPr>
        <w:fldChar w:fldCharType="separate"/>
      </w:r>
      <w:r w:rsidR="00280AAE" w:rsidRPr="00632771">
        <w:rPr>
          <w:rFonts w:ascii="Corbel" w:hAnsi="Corbel"/>
          <w:noProof/>
        </w:rPr>
        <w:t>15</w:t>
      </w:r>
      <w:r w:rsidR="00372D39" w:rsidRPr="00632771">
        <w:rPr>
          <w:rFonts w:ascii="Corbel" w:hAnsi="Corbel"/>
          <w:noProof/>
        </w:rPr>
        <w:fldChar w:fldCharType="end"/>
      </w:r>
      <w:r w:rsidRPr="00632771">
        <w:rPr>
          <w:rFonts w:ascii="Corbel" w:hAnsi="Corbel"/>
        </w:rPr>
        <w:t>.: Zaposleni u obrtima u 2011. godini po odabranim gradovima</w:t>
      </w:r>
      <w:bookmarkEnd w:id="70"/>
    </w:p>
    <w:tbl>
      <w:tblPr>
        <w:tblW w:w="8300" w:type="dxa"/>
        <w:tblInd w:w="93" w:type="dxa"/>
        <w:tblLook w:val="04A0" w:firstRow="1" w:lastRow="0" w:firstColumn="1" w:lastColumn="0" w:noHBand="0" w:noVBand="1"/>
      </w:tblPr>
      <w:tblGrid>
        <w:gridCol w:w="2580"/>
        <w:gridCol w:w="1100"/>
        <w:gridCol w:w="1180"/>
        <w:gridCol w:w="1240"/>
        <w:gridCol w:w="1060"/>
        <w:gridCol w:w="1140"/>
      </w:tblGrid>
      <w:tr w:rsidR="00993C38" w:rsidRPr="00632771" w:rsidTr="00993C38">
        <w:trPr>
          <w:trHeight w:val="300"/>
        </w:trPr>
        <w:tc>
          <w:tcPr>
            <w:tcW w:w="2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ZAPOSLENI U OBRTIMA</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b/>
                <w:bCs/>
                <w:color w:val="000000"/>
                <w:sz w:val="20"/>
                <w:szCs w:val="20"/>
                <w:lang w:eastAsia="hr-HR"/>
              </w:rPr>
            </w:pPr>
            <w:r w:rsidRPr="00632771">
              <w:rPr>
                <w:rFonts w:ascii="Corbel" w:eastAsia="Times New Roman" w:hAnsi="Corbel" w:cs="Times New Roman"/>
                <w:b/>
                <w:bCs/>
                <w:color w:val="000000"/>
                <w:sz w:val="20"/>
                <w:szCs w:val="20"/>
                <w:lang w:eastAsia="hr-HR"/>
              </w:rPr>
              <w:t>Zadar</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b/>
                <w:bCs/>
                <w:color w:val="000000"/>
                <w:sz w:val="20"/>
                <w:szCs w:val="20"/>
                <w:lang w:eastAsia="hr-HR"/>
              </w:rPr>
            </w:pPr>
            <w:r w:rsidRPr="00632771">
              <w:rPr>
                <w:rFonts w:ascii="Corbel" w:eastAsia="Times New Roman" w:hAnsi="Corbel" w:cs="Times New Roman"/>
                <w:b/>
                <w:bCs/>
                <w:color w:val="000000"/>
                <w:sz w:val="20"/>
                <w:szCs w:val="20"/>
                <w:lang w:eastAsia="hr-HR"/>
              </w:rPr>
              <w:t>Pula</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b/>
                <w:bCs/>
                <w:color w:val="000000"/>
                <w:sz w:val="20"/>
                <w:szCs w:val="20"/>
                <w:lang w:eastAsia="hr-HR"/>
              </w:rPr>
            </w:pPr>
            <w:r w:rsidRPr="00632771">
              <w:rPr>
                <w:rFonts w:ascii="Corbel" w:eastAsia="Times New Roman" w:hAnsi="Corbel" w:cs="Times New Roman"/>
                <w:b/>
                <w:bCs/>
                <w:color w:val="000000"/>
                <w:sz w:val="20"/>
                <w:szCs w:val="20"/>
                <w:lang w:eastAsia="hr-HR"/>
              </w:rPr>
              <w:t xml:space="preserve"> Rijeka</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b/>
                <w:bCs/>
                <w:color w:val="000000"/>
                <w:sz w:val="20"/>
                <w:szCs w:val="20"/>
                <w:lang w:eastAsia="hr-HR"/>
              </w:rPr>
            </w:pPr>
            <w:r w:rsidRPr="00632771">
              <w:rPr>
                <w:rFonts w:ascii="Corbel" w:eastAsia="Times New Roman" w:hAnsi="Corbel" w:cs="Times New Roman"/>
                <w:b/>
                <w:bCs/>
                <w:color w:val="000000"/>
                <w:sz w:val="20"/>
                <w:szCs w:val="20"/>
                <w:lang w:eastAsia="hr-HR"/>
              </w:rPr>
              <w:t>Split</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b/>
                <w:bCs/>
                <w:color w:val="000000"/>
                <w:sz w:val="20"/>
                <w:szCs w:val="20"/>
                <w:lang w:eastAsia="hr-HR"/>
              </w:rPr>
            </w:pPr>
            <w:r w:rsidRPr="00632771">
              <w:rPr>
                <w:rFonts w:ascii="Corbel" w:eastAsia="Times New Roman" w:hAnsi="Corbel" w:cs="Times New Roman"/>
                <w:b/>
                <w:bCs/>
                <w:color w:val="000000"/>
                <w:sz w:val="20"/>
                <w:szCs w:val="20"/>
                <w:lang w:eastAsia="hr-HR"/>
              </w:rPr>
              <w:t>Dubrovnik</w:t>
            </w:r>
          </w:p>
        </w:tc>
      </w:tr>
      <w:tr w:rsidR="00993C38" w:rsidRPr="00632771" w:rsidTr="00993C38">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2001.</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1764</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1814</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2613</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2814</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743</w:t>
            </w:r>
          </w:p>
        </w:tc>
      </w:tr>
      <w:tr w:rsidR="00993C38" w:rsidRPr="00632771" w:rsidTr="00993C38">
        <w:trPr>
          <w:trHeight w:val="27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2002.</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1859</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1886</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2597</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2884</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782</w:t>
            </w:r>
          </w:p>
        </w:tc>
      </w:tr>
      <w:tr w:rsidR="00993C38" w:rsidRPr="00632771" w:rsidTr="00993C38">
        <w:trPr>
          <w:trHeight w:val="300"/>
        </w:trPr>
        <w:tc>
          <w:tcPr>
            <w:tcW w:w="2580" w:type="dxa"/>
            <w:tcBorders>
              <w:top w:val="nil"/>
              <w:left w:val="single" w:sz="4" w:space="0" w:color="auto"/>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2003.</w:t>
            </w:r>
          </w:p>
        </w:tc>
        <w:tc>
          <w:tcPr>
            <w:tcW w:w="110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1944</w:t>
            </w:r>
          </w:p>
        </w:tc>
        <w:tc>
          <w:tcPr>
            <w:tcW w:w="118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1976</w:t>
            </w:r>
          </w:p>
        </w:tc>
        <w:tc>
          <w:tcPr>
            <w:tcW w:w="12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2664</w:t>
            </w:r>
          </w:p>
        </w:tc>
        <w:tc>
          <w:tcPr>
            <w:tcW w:w="106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2918</w:t>
            </w:r>
          </w:p>
        </w:tc>
        <w:tc>
          <w:tcPr>
            <w:tcW w:w="11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809</w:t>
            </w:r>
          </w:p>
        </w:tc>
      </w:tr>
      <w:tr w:rsidR="00993C38" w:rsidRPr="00632771" w:rsidTr="00993C38">
        <w:trPr>
          <w:trHeight w:val="285"/>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2004.</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2033</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1997</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2793</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2990</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776</w:t>
            </w:r>
          </w:p>
        </w:tc>
      </w:tr>
      <w:tr w:rsidR="00993C38" w:rsidRPr="00632771" w:rsidTr="00425947">
        <w:trPr>
          <w:trHeight w:val="152"/>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2005.</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2072</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1985</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2759</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2985</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778</w:t>
            </w:r>
          </w:p>
        </w:tc>
      </w:tr>
      <w:tr w:rsidR="00993C38" w:rsidRPr="00632771" w:rsidTr="00993C38">
        <w:trPr>
          <w:trHeight w:val="315"/>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2006.</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2043</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2010</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2739</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2955</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768</w:t>
            </w:r>
          </w:p>
        </w:tc>
      </w:tr>
      <w:tr w:rsidR="00993C38" w:rsidRPr="00632771" w:rsidTr="00620F8B">
        <w:trPr>
          <w:trHeight w:val="288"/>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2007.</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2031</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1995</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2742</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2913</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798</w:t>
            </w:r>
          </w:p>
        </w:tc>
      </w:tr>
      <w:tr w:rsidR="00993C38" w:rsidRPr="00632771" w:rsidTr="00993C38">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2008.</w:t>
            </w:r>
          </w:p>
        </w:tc>
        <w:tc>
          <w:tcPr>
            <w:tcW w:w="110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1971</w:t>
            </w:r>
          </w:p>
        </w:tc>
        <w:tc>
          <w:tcPr>
            <w:tcW w:w="118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1917</w:t>
            </w:r>
          </w:p>
        </w:tc>
        <w:tc>
          <w:tcPr>
            <w:tcW w:w="12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2604</w:t>
            </w:r>
          </w:p>
        </w:tc>
        <w:tc>
          <w:tcPr>
            <w:tcW w:w="106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2782</w:t>
            </w:r>
          </w:p>
        </w:tc>
        <w:tc>
          <w:tcPr>
            <w:tcW w:w="11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772</w:t>
            </w:r>
          </w:p>
        </w:tc>
      </w:tr>
      <w:tr w:rsidR="00993C38" w:rsidRPr="00632771" w:rsidTr="00993C38">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2009.</w:t>
            </w:r>
          </w:p>
        </w:tc>
        <w:tc>
          <w:tcPr>
            <w:tcW w:w="110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1855</w:t>
            </w:r>
          </w:p>
        </w:tc>
        <w:tc>
          <w:tcPr>
            <w:tcW w:w="118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1811</w:t>
            </w:r>
          </w:p>
        </w:tc>
        <w:tc>
          <w:tcPr>
            <w:tcW w:w="12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2416</w:t>
            </w:r>
          </w:p>
        </w:tc>
        <w:tc>
          <w:tcPr>
            <w:tcW w:w="106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2640</w:t>
            </w:r>
          </w:p>
        </w:tc>
        <w:tc>
          <w:tcPr>
            <w:tcW w:w="11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742</w:t>
            </w:r>
          </w:p>
        </w:tc>
      </w:tr>
      <w:tr w:rsidR="00993C38" w:rsidRPr="00632771" w:rsidTr="00993C38">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2010.</w:t>
            </w:r>
          </w:p>
        </w:tc>
        <w:tc>
          <w:tcPr>
            <w:tcW w:w="110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1770</w:t>
            </w:r>
          </w:p>
        </w:tc>
        <w:tc>
          <w:tcPr>
            <w:tcW w:w="118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1667</w:t>
            </w:r>
          </w:p>
        </w:tc>
        <w:tc>
          <w:tcPr>
            <w:tcW w:w="12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2230</w:t>
            </w:r>
          </w:p>
        </w:tc>
        <w:tc>
          <w:tcPr>
            <w:tcW w:w="106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2474</w:t>
            </w:r>
          </w:p>
        </w:tc>
        <w:tc>
          <w:tcPr>
            <w:tcW w:w="1140" w:type="dxa"/>
            <w:tcBorders>
              <w:top w:val="nil"/>
              <w:left w:val="nil"/>
              <w:bottom w:val="single" w:sz="4" w:space="0" w:color="auto"/>
              <w:right w:val="single" w:sz="4" w:space="0" w:color="auto"/>
            </w:tcBorders>
            <w:shd w:val="clear" w:color="auto" w:fill="auto"/>
            <w:noWrap/>
            <w:vAlign w:val="bottom"/>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739</w:t>
            </w:r>
          </w:p>
        </w:tc>
      </w:tr>
      <w:tr w:rsidR="00993C38" w:rsidRPr="00632771" w:rsidTr="00993C38">
        <w:trPr>
          <w:trHeight w:val="300"/>
        </w:trPr>
        <w:tc>
          <w:tcPr>
            <w:tcW w:w="2580" w:type="dxa"/>
            <w:tcBorders>
              <w:top w:val="nil"/>
              <w:left w:val="single" w:sz="4" w:space="0" w:color="auto"/>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center"/>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2011.</w:t>
            </w:r>
          </w:p>
        </w:tc>
        <w:tc>
          <w:tcPr>
            <w:tcW w:w="110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1718</w:t>
            </w:r>
          </w:p>
        </w:tc>
        <w:tc>
          <w:tcPr>
            <w:tcW w:w="118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1580</w:t>
            </w:r>
          </w:p>
        </w:tc>
        <w:tc>
          <w:tcPr>
            <w:tcW w:w="12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2125</w:t>
            </w:r>
          </w:p>
        </w:tc>
        <w:tc>
          <w:tcPr>
            <w:tcW w:w="106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2449</w:t>
            </w:r>
          </w:p>
        </w:tc>
        <w:tc>
          <w:tcPr>
            <w:tcW w:w="1140" w:type="dxa"/>
            <w:tcBorders>
              <w:top w:val="nil"/>
              <w:left w:val="nil"/>
              <w:bottom w:val="single" w:sz="4" w:space="0" w:color="auto"/>
              <w:right w:val="single" w:sz="4" w:space="0" w:color="auto"/>
            </w:tcBorders>
            <w:shd w:val="clear" w:color="auto" w:fill="auto"/>
            <w:vAlign w:val="center"/>
            <w:hideMark/>
          </w:tcPr>
          <w:p w:rsidR="00993C38" w:rsidRPr="00632771" w:rsidRDefault="00993C38" w:rsidP="00993C38">
            <w:pPr>
              <w:spacing w:after="0" w:line="240" w:lineRule="auto"/>
              <w:jc w:val="right"/>
              <w:rPr>
                <w:rFonts w:ascii="Corbel" w:eastAsia="Times New Roman" w:hAnsi="Corbel" w:cs="Times New Roman"/>
                <w:color w:val="000000"/>
                <w:sz w:val="20"/>
                <w:szCs w:val="20"/>
                <w:lang w:eastAsia="hr-HR"/>
              </w:rPr>
            </w:pPr>
            <w:r w:rsidRPr="00632771">
              <w:rPr>
                <w:rFonts w:ascii="Corbel" w:eastAsia="Times New Roman" w:hAnsi="Corbel" w:cs="Times New Roman"/>
                <w:color w:val="000000"/>
                <w:sz w:val="20"/>
                <w:szCs w:val="20"/>
                <w:lang w:eastAsia="hr-HR"/>
              </w:rPr>
              <w:t>773</w:t>
            </w:r>
          </w:p>
        </w:tc>
      </w:tr>
    </w:tbl>
    <w:p w:rsidR="000E3D14" w:rsidRPr="00632771" w:rsidRDefault="00EB6FC5" w:rsidP="003D0416">
      <w:pPr>
        <w:jc w:val="both"/>
        <w:rPr>
          <w:rFonts w:ascii="Corbel" w:hAnsi="Corbel" w:cs="Arial"/>
        </w:rPr>
      </w:pPr>
      <w:r w:rsidRPr="00632771">
        <w:rPr>
          <w:rFonts w:ascii="Corbel" w:hAnsi="Corbel" w:cs="Arial"/>
        </w:rPr>
        <w:t>Izvor: HZMO, 2012</w:t>
      </w:r>
      <w:r w:rsidR="00ED4B90" w:rsidRPr="00632771">
        <w:rPr>
          <w:rFonts w:ascii="Corbel" w:hAnsi="Corbel" w:cs="Arial"/>
        </w:rPr>
        <w:t>, obrada: ZADRA</w:t>
      </w:r>
    </w:p>
    <w:p w:rsidR="00993C38" w:rsidRPr="00632771" w:rsidRDefault="00993C38" w:rsidP="003D0416">
      <w:pPr>
        <w:jc w:val="both"/>
        <w:rPr>
          <w:rFonts w:ascii="Corbel" w:hAnsi="Corbel" w:cs="Arial"/>
        </w:rPr>
      </w:pPr>
      <w:r w:rsidRPr="00632771">
        <w:rPr>
          <w:rFonts w:ascii="Corbel" w:hAnsi="Corbel" w:cs="Arial"/>
        </w:rPr>
        <w:t xml:space="preserve">Možemo vidjeti kako je </w:t>
      </w:r>
      <w:r w:rsidRPr="00632771">
        <w:rPr>
          <w:rFonts w:ascii="Corbel" w:hAnsi="Corbel" w:cs="Arial"/>
          <w:b/>
        </w:rPr>
        <w:t>broj zaposlenih u obrtu kontinuirano rastao do 2008. godine, kada slijedi značajno opadanje zaposlenih obrtnika</w:t>
      </w:r>
      <w:r w:rsidRPr="00632771">
        <w:rPr>
          <w:rFonts w:ascii="Corbel" w:hAnsi="Corbel" w:cs="Arial"/>
        </w:rPr>
        <w:t xml:space="preserve">. Broj </w:t>
      </w:r>
      <w:r w:rsidR="00AF2E78" w:rsidRPr="00632771">
        <w:rPr>
          <w:rFonts w:ascii="Corbel" w:hAnsi="Corbel" w:cs="Arial"/>
        </w:rPr>
        <w:t xml:space="preserve">zaposlenih </w:t>
      </w:r>
      <w:r w:rsidRPr="00632771">
        <w:rPr>
          <w:rFonts w:ascii="Corbel" w:hAnsi="Corbel" w:cs="Arial"/>
        </w:rPr>
        <w:t xml:space="preserve">obrtnika je najbrže rastao </w:t>
      </w:r>
      <w:r w:rsidR="00AF2E78" w:rsidRPr="00632771">
        <w:rPr>
          <w:rFonts w:ascii="Corbel" w:hAnsi="Corbel" w:cs="Arial"/>
        </w:rPr>
        <w:t xml:space="preserve">u Zadru. Međutim, rast se nije održao te krivulja pokazuje kako je u svim gradovima </w:t>
      </w:r>
      <w:r w:rsidR="00AF2E78" w:rsidRPr="00632771">
        <w:rPr>
          <w:rFonts w:ascii="Corbel" w:hAnsi="Corbel" w:cs="Arial"/>
          <w:b/>
        </w:rPr>
        <w:t>broj zaposlenih obrtnika pao na razinu ispod 2001. godine</w:t>
      </w:r>
      <w:r w:rsidR="00AF2E78" w:rsidRPr="00632771">
        <w:rPr>
          <w:rFonts w:ascii="Corbel" w:hAnsi="Corbel" w:cs="Arial"/>
        </w:rPr>
        <w:t>.</w:t>
      </w:r>
    </w:p>
    <w:p w:rsidR="00592BB5" w:rsidRDefault="00592BB5" w:rsidP="00592BB5">
      <w:pPr>
        <w:pStyle w:val="Opisslike"/>
        <w:keepNext/>
        <w:jc w:val="both"/>
      </w:pPr>
      <w:bookmarkStart w:id="71" w:name="_Toc351538502"/>
      <w:r>
        <w:lastRenderedPageBreak/>
        <w:t xml:space="preserve">Slika </w:t>
      </w:r>
      <w:fldSimple w:instr=" SEQ Slika \* ARABIC ">
        <w:r w:rsidR="001E7A09">
          <w:rPr>
            <w:noProof/>
          </w:rPr>
          <w:t>39</w:t>
        </w:r>
      </w:fldSimple>
      <w:r>
        <w:t>.: Indeks kret</w:t>
      </w:r>
      <w:r w:rsidR="0008672F">
        <w:t>anja zaposlenosti u obrtima za i</w:t>
      </w:r>
      <w:r>
        <w:t>zabrane gradove</w:t>
      </w:r>
      <w:r w:rsidR="0008672F">
        <w:t xml:space="preserve"> od 2001. do 2011., 2001.=100</w:t>
      </w:r>
      <w:bookmarkEnd w:id="71"/>
    </w:p>
    <w:p w:rsidR="00EB6FC5" w:rsidRPr="00EB6FC5" w:rsidRDefault="00592BB5" w:rsidP="00592BB5">
      <w:pPr>
        <w:spacing w:after="0"/>
        <w:jc w:val="both"/>
        <w:rPr>
          <w:rFonts w:ascii="Times New Roman" w:hAnsi="Times New Roman" w:cs="Arial"/>
        </w:rPr>
      </w:pPr>
      <w:r>
        <w:rPr>
          <w:noProof/>
          <w:lang w:eastAsia="hr-HR"/>
        </w:rPr>
        <w:drawing>
          <wp:inline distT="0" distB="0" distL="0" distR="0" wp14:anchorId="3B86FF45" wp14:editId="44FBDF85">
            <wp:extent cx="5762847" cy="3083442"/>
            <wp:effectExtent l="0" t="0" r="9525" b="22225"/>
            <wp:docPr id="40" name="Grafikon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92BB5" w:rsidRDefault="00592BB5" w:rsidP="00592BB5">
      <w:pPr>
        <w:jc w:val="both"/>
        <w:rPr>
          <w:rFonts w:ascii="Times New Roman" w:hAnsi="Times New Roman" w:cs="Arial"/>
        </w:rPr>
      </w:pPr>
      <w:r>
        <w:rPr>
          <w:rFonts w:ascii="Times New Roman" w:hAnsi="Times New Roman" w:cs="Arial"/>
        </w:rPr>
        <w:t xml:space="preserve">Izvor: HZMO, </w:t>
      </w:r>
      <w:r w:rsidR="0008672F">
        <w:rPr>
          <w:rFonts w:ascii="Times New Roman" w:hAnsi="Times New Roman" w:cs="Arial"/>
        </w:rPr>
        <w:t>po godinama</w:t>
      </w:r>
      <w:r w:rsidR="00ED4B90">
        <w:rPr>
          <w:rFonts w:ascii="Times New Roman" w:hAnsi="Times New Roman" w:cs="Arial"/>
        </w:rPr>
        <w:t>, obrada: ZADRA</w:t>
      </w:r>
    </w:p>
    <w:p w:rsidR="008267AF" w:rsidRPr="00632771" w:rsidRDefault="001141E4" w:rsidP="003D0416">
      <w:pPr>
        <w:jc w:val="both"/>
        <w:rPr>
          <w:rFonts w:ascii="Corbel" w:hAnsi="Corbel" w:cs="Arial"/>
          <w:b/>
        </w:rPr>
      </w:pPr>
      <w:r w:rsidRPr="00632771">
        <w:rPr>
          <w:rFonts w:ascii="Corbel" w:hAnsi="Corbel" w:cs="Arial"/>
        </w:rPr>
        <w:t xml:space="preserve">U Zadarskoj županiji </w:t>
      </w:r>
      <w:r w:rsidR="008267AF" w:rsidRPr="00632771">
        <w:rPr>
          <w:rFonts w:ascii="Corbel" w:hAnsi="Corbel" w:cs="Arial"/>
        </w:rPr>
        <w:t>prevladavaju obrti</w:t>
      </w:r>
      <w:r w:rsidRPr="00632771">
        <w:rPr>
          <w:rFonts w:ascii="Corbel" w:hAnsi="Corbel" w:cs="Arial"/>
        </w:rPr>
        <w:t xml:space="preserve"> koji </w:t>
      </w:r>
      <w:r w:rsidR="008267AF" w:rsidRPr="00632771">
        <w:rPr>
          <w:rFonts w:ascii="Corbel" w:hAnsi="Corbel" w:cs="Arial"/>
        </w:rPr>
        <w:t>se bave djelatnostima</w:t>
      </w:r>
      <w:r w:rsidR="008267AF" w:rsidRPr="00632771">
        <w:rPr>
          <w:rFonts w:ascii="Corbel" w:hAnsi="Corbel" w:cs="Arial"/>
          <w:b/>
        </w:rPr>
        <w:t>:</w:t>
      </w:r>
    </w:p>
    <w:p w:rsidR="008267AF" w:rsidRPr="00632771" w:rsidRDefault="008267AF" w:rsidP="008267AF">
      <w:pPr>
        <w:pStyle w:val="Odlomakpopisa"/>
        <w:numPr>
          <w:ilvl w:val="0"/>
          <w:numId w:val="23"/>
        </w:numPr>
        <w:jc w:val="both"/>
        <w:rPr>
          <w:rFonts w:ascii="Corbel" w:hAnsi="Corbel" w:cs="Arial"/>
          <w:b/>
        </w:rPr>
      </w:pPr>
      <w:r w:rsidRPr="00632771">
        <w:rPr>
          <w:rFonts w:ascii="Corbel" w:hAnsi="Corbel" w:cs="Arial"/>
          <w:b/>
        </w:rPr>
        <w:t xml:space="preserve">uslužnog zanatstva </w:t>
      </w:r>
      <w:r w:rsidRPr="00632771">
        <w:rPr>
          <w:rFonts w:ascii="Corbel" w:hAnsi="Corbel" w:cs="Arial"/>
        </w:rPr>
        <w:t xml:space="preserve">(građevina, izdavaštvo, tisak, </w:t>
      </w:r>
      <w:proofErr w:type="spellStart"/>
      <w:r w:rsidRPr="00632771">
        <w:rPr>
          <w:rFonts w:ascii="Corbel" w:hAnsi="Corbel" w:cs="Arial"/>
        </w:rPr>
        <w:t>autostruka</w:t>
      </w:r>
      <w:proofErr w:type="spellEnd"/>
      <w:r w:rsidRPr="00632771">
        <w:rPr>
          <w:rFonts w:ascii="Corbel" w:hAnsi="Corbel" w:cs="Arial"/>
        </w:rPr>
        <w:t>, čišćenje itd.)</w:t>
      </w:r>
      <w:r w:rsidRPr="00632771">
        <w:rPr>
          <w:rFonts w:ascii="Corbel" w:hAnsi="Corbel" w:cs="Arial"/>
          <w:b/>
        </w:rPr>
        <w:t>,</w:t>
      </w:r>
    </w:p>
    <w:p w:rsidR="000E3D14" w:rsidRPr="00632771" w:rsidRDefault="008267AF" w:rsidP="008267AF">
      <w:pPr>
        <w:pStyle w:val="Odlomakpopisa"/>
        <w:numPr>
          <w:ilvl w:val="0"/>
          <w:numId w:val="23"/>
        </w:numPr>
        <w:jc w:val="both"/>
        <w:rPr>
          <w:rFonts w:ascii="Corbel" w:hAnsi="Corbel" w:cs="Arial"/>
          <w:b/>
        </w:rPr>
      </w:pPr>
      <w:r w:rsidRPr="00632771">
        <w:rPr>
          <w:rFonts w:ascii="Corbel" w:hAnsi="Corbel" w:cs="Arial"/>
          <w:b/>
        </w:rPr>
        <w:t>ugostiteljstva i turizma, te</w:t>
      </w:r>
    </w:p>
    <w:p w:rsidR="008267AF" w:rsidRPr="00632771" w:rsidRDefault="008267AF" w:rsidP="008267AF">
      <w:pPr>
        <w:pStyle w:val="Odlomakpopisa"/>
        <w:numPr>
          <w:ilvl w:val="0"/>
          <w:numId w:val="23"/>
        </w:numPr>
        <w:jc w:val="both"/>
        <w:rPr>
          <w:rFonts w:ascii="Corbel" w:hAnsi="Corbel" w:cs="Arial"/>
          <w:b/>
        </w:rPr>
      </w:pPr>
      <w:r w:rsidRPr="00632771">
        <w:rPr>
          <w:rFonts w:ascii="Corbel" w:hAnsi="Corbel" w:cs="Arial"/>
          <w:b/>
        </w:rPr>
        <w:t>trgovine.</w:t>
      </w:r>
    </w:p>
    <w:p w:rsidR="00357BA3" w:rsidRPr="00632771" w:rsidRDefault="00732A1C" w:rsidP="00357BA3">
      <w:pPr>
        <w:jc w:val="both"/>
        <w:rPr>
          <w:rFonts w:ascii="Corbel" w:hAnsi="Corbel" w:cs="Arial"/>
        </w:rPr>
      </w:pPr>
      <w:r w:rsidRPr="00632771">
        <w:rPr>
          <w:rFonts w:ascii="Corbel" w:hAnsi="Corbel" w:cs="Arial"/>
        </w:rPr>
        <w:t>Usporedbom relativnih udjela strukture djelatnosti sa nacionalnom razinom Zadarska županija ima veći udio u ugostiteljstvu i turizmu, malo više u trgovini te ribarstvu i marikulturi. Manji udjel je</w:t>
      </w:r>
      <w:r w:rsidR="00D81EAA" w:rsidRPr="00632771">
        <w:rPr>
          <w:rFonts w:ascii="Corbel" w:hAnsi="Corbel" w:cs="Arial"/>
        </w:rPr>
        <w:t xml:space="preserve"> u</w:t>
      </w:r>
      <w:r w:rsidRPr="00632771">
        <w:rPr>
          <w:rFonts w:ascii="Corbel" w:hAnsi="Corbel" w:cs="Arial"/>
        </w:rPr>
        <w:t xml:space="preserve"> proizvodnom i uslužnom zanatstvu, što ponovo potvrđuje raniji zaključak </w:t>
      </w:r>
      <w:r w:rsidRPr="00632771">
        <w:rPr>
          <w:rFonts w:ascii="Corbel" w:hAnsi="Corbel" w:cs="Arial"/>
          <w:b/>
        </w:rPr>
        <w:t>o manjem udjelu proizvodnje u gospodarstvu grada i županije</w:t>
      </w:r>
      <w:r w:rsidRPr="00632771">
        <w:rPr>
          <w:rFonts w:ascii="Corbel" w:hAnsi="Corbel" w:cs="Arial"/>
        </w:rPr>
        <w:t>.</w:t>
      </w:r>
    </w:p>
    <w:p w:rsidR="001141E4" w:rsidRDefault="001141E4" w:rsidP="001141E4">
      <w:pPr>
        <w:pStyle w:val="Opisslike"/>
        <w:keepNext/>
        <w:jc w:val="both"/>
      </w:pPr>
      <w:bookmarkStart w:id="72" w:name="_Toc351538503"/>
      <w:r>
        <w:lastRenderedPageBreak/>
        <w:t xml:space="preserve">Slika </w:t>
      </w:r>
      <w:fldSimple w:instr=" SEQ Slika \* ARABIC ">
        <w:r w:rsidR="001E7A09">
          <w:rPr>
            <w:noProof/>
          </w:rPr>
          <w:t>40</w:t>
        </w:r>
      </w:fldSimple>
      <w:r>
        <w:t xml:space="preserve">.: </w:t>
      </w:r>
      <w:r w:rsidRPr="00ED4B90">
        <w:t>Cehovski ustroj u aktivnim obrtima prema županijama i oznaci glavne djelatnosti u sjedištu prosinac 2011</w:t>
      </w:r>
      <w:bookmarkEnd w:id="72"/>
    </w:p>
    <w:p w:rsidR="001141E4" w:rsidRDefault="001141E4" w:rsidP="008267AF">
      <w:pPr>
        <w:spacing w:after="0"/>
        <w:jc w:val="both"/>
        <w:rPr>
          <w:rFonts w:ascii="Times New Roman" w:hAnsi="Times New Roman" w:cs="Arial"/>
        </w:rPr>
      </w:pPr>
      <w:r>
        <w:rPr>
          <w:noProof/>
          <w:lang w:eastAsia="hr-HR"/>
        </w:rPr>
        <w:drawing>
          <wp:inline distT="0" distB="0" distL="0" distR="0" wp14:anchorId="7636EBBA" wp14:editId="33FE424C">
            <wp:extent cx="5762847" cy="3168503"/>
            <wp:effectExtent l="0" t="0" r="9525" b="13335"/>
            <wp:docPr id="53" name="Grafikon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8267AF" w:rsidRPr="001141E4" w:rsidRDefault="008267AF" w:rsidP="008267AF">
      <w:pPr>
        <w:jc w:val="both"/>
        <w:rPr>
          <w:rFonts w:ascii="Times New Roman" w:hAnsi="Times New Roman" w:cs="Arial"/>
          <w:sz w:val="20"/>
        </w:rPr>
      </w:pPr>
      <w:r w:rsidRPr="001141E4">
        <w:rPr>
          <w:rFonts w:ascii="Times New Roman" w:hAnsi="Times New Roman" w:cs="Arial"/>
          <w:sz w:val="20"/>
        </w:rPr>
        <w:t xml:space="preserve">Izvor: KNJIGA OBRTNIKA – članova </w:t>
      </w:r>
      <w:proofErr w:type="spellStart"/>
      <w:r w:rsidRPr="001141E4">
        <w:rPr>
          <w:rFonts w:ascii="Times New Roman" w:hAnsi="Times New Roman" w:cs="Arial"/>
          <w:sz w:val="20"/>
        </w:rPr>
        <w:t>HOK</w:t>
      </w:r>
      <w:proofErr w:type="spellEnd"/>
      <w:r w:rsidRPr="001141E4">
        <w:rPr>
          <w:rFonts w:ascii="Times New Roman" w:hAnsi="Times New Roman" w:cs="Arial"/>
          <w:sz w:val="20"/>
        </w:rPr>
        <w:t>-a; 31.12.2011. (podaci za aktivne obrte); obrada ZADRA</w:t>
      </w:r>
    </w:p>
    <w:p w:rsidR="001141E4" w:rsidRPr="008C59FF" w:rsidRDefault="00D947EC" w:rsidP="003D0416">
      <w:pPr>
        <w:jc w:val="both"/>
        <w:rPr>
          <w:rFonts w:ascii="Corbel" w:hAnsi="Corbel" w:cs="Arial"/>
          <w:b/>
        </w:rPr>
      </w:pPr>
      <w:r w:rsidRPr="008C59FF">
        <w:rPr>
          <w:rFonts w:ascii="Corbel" w:hAnsi="Corbel" w:cs="Arial"/>
        </w:rPr>
        <w:t>Još uvijek je visok udio muškaraca vlasnika obrta ( 70%), dok je na nacionalnoj razini taj odnos nešto manji i iznosi 68:32 u korist muškaraca</w:t>
      </w:r>
      <w:r w:rsidRPr="008C59FF">
        <w:rPr>
          <w:rFonts w:ascii="Corbel" w:hAnsi="Corbel" w:cs="Arial"/>
          <w:b/>
        </w:rPr>
        <w:t>.</w:t>
      </w:r>
      <w:bookmarkStart w:id="73" w:name="_GoBack"/>
      <w:bookmarkEnd w:id="73"/>
    </w:p>
    <w:p w:rsidR="00C47E0E" w:rsidRDefault="00C47E0E" w:rsidP="00C47E0E">
      <w:pPr>
        <w:pStyle w:val="Opisslike"/>
        <w:keepNext/>
      </w:pPr>
      <w:bookmarkStart w:id="74" w:name="_Toc351538504"/>
      <w:r>
        <w:t xml:space="preserve">Slika </w:t>
      </w:r>
      <w:fldSimple w:instr=" SEQ Slika \* ARABIC ">
        <w:r w:rsidR="001E7A09">
          <w:rPr>
            <w:noProof/>
          </w:rPr>
          <w:t>41</w:t>
        </w:r>
      </w:fldSimple>
      <w:r>
        <w:t xml:space="preserve">.: Vlasnici aktivnih obrta prema spolu u </w:t>
      </w:r>
      <w:proofErr w:type="spellStart"/>
      <w:r>
        <w:t>ZŽ</w:t>
      </w:r>
      <w:proofErr w:type="spellEnd"/>
      <w:r>
        <w:t xml:space="preserve"> i RH</w:t>
      </w:r>
      <w:bookmarkEnd w:id="74"/>
    </w:p>
    <w:tbl>
      <w:tblPr>
        <w:tblW w:w="9137" w:type="dxa"/>
        <w:tblInd w:w="108" w:type="dxa"/>
        <w:tblLook w:val="04A0" w:firstRow="1" w:lastRow="0" w:firstColumn="1" w:lastColumn="0" w:noHBand="0" w:noVBand="1"/>
      </w:tblPr>
      <w:tblGrid>
        <w:gridCol w:w="1317"/>
        <w:gridCol w:w="1097"/>
        <w:gridCol w:w="1152"/>
        <w:gridCol w:w="895"/>
        <w:gridCol w:w="1096"/>
        <w:gridCol w:w="895"/>
        <w:gridCol w:w="895"/>
        <w:gridCol w:w="895"/>
        <w:gridCol w:w="895"/>
      </w:tblGrid>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r>
              <w:rPr>
                <w:rFonts w:ascii="Calibri" w:eastAsia="Times New Roman" w:hAnsi="Calibri" w:cs="Times New Roman"/>
                <w:noProof/>
                <w:color w:val="000000"/>
                <w:lang w:eastAsia="hr-HR"/>
              </w:rPr>
              <w:drawing>
                <wp:anchor distT="0" distB="0" distL="114300" distR="114300" simplePos="0" relativeHeight="251659264" behindDoc="0" locked="0" layoutInCell="1" allowOverlap="1" wp14:anchorId="0BF6B07B" wp14:editId="11DD17B5">
                  <wp:simplePos x="0" y="0"/>
                  <wp:positionH relativeFrom="column">
                    <wp:posOffset>19050</wp:posOffset>
                  </wp:positionH>
                  <wp:positionV relativeFrom="paragraph">
                    <wp:posOffset>28575</wp:posOffset>
                  </wp:positionV>
                  <wp:extent cx="2809875" cy="2124075"/>
                  <wp:effectExtent l="0" t="0" r="9525" b="9525"/>
                  <wp:wrapNone/>
                  <wp:docPr id="44" name="Grafikon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page">
                    <wp14:pctWidth>0</wp14:pctWidth>
                  </wp14:sizeRelH>
                  <wp14:sizeRelV relativeFrom="page">
                    <wp14:pctHeight>0</wp14:pctHeight>
                  </wp14:sizeRelV>
                </wp:anchor>
              </w:drawing>
            </w:r>
          </w:p>
          <w:tbl>
            <w:tblPr>
              <w:tblW w:w="1101" w:type="dxa"/>
              <w:tblCellSpacing w:w="0" w:type="dxa"/>
              <w:tblCellMar>
                <w:left w:w="0" w:type="dxa"/>
                <w:right w:w="0" w:type="dxa"/>
              </w:tblCellMar>
              <w:tblLook w:val="04A0" w:firstRow="1" w:lastRow="0" w:firstColumn="1" w:lastColumn="0" w:noHBand="0" w:noVBand="1"/>
            </w:tblPr>
            <w:tblGrid>
              <w:gridCol w:w="1101"/>
            </w:tblGrid>
            <w:tr w:rsidR="00C47E0E" w:rsidRPr="00C47E0E" w:rsidTr="00C47E0E">
              <w:trPr>
                <w:trHeight w:val="298"/>
                <w:tblCellSpacing w:w="0" w:type="dxa"/>
              </w:trPr>
              <w:tc>
                <w:tcPr>
                  <w:tcW w:w="1101"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bl>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r>
              <w:rPr>
                <w:rFonts w:ascii="Calibri" w:eastAsia="Times New Roman" w:hAnsi="Calibri" w:cs="Times New Roman"/>
                <w:noProof/>
                <w:color w:val="000000"/>
                <w:lang w:eastAsia="hr-HR"/>
              </w:rPr>
              <w:drawing>
                <wp:anchor distT="0" distB="0" distL="114300" distR="114300" simplePos="0" relativeHeight="251660288" behindDoc="0" locked="0" layoutInCell="1" allowOverlap="1" wp14:anchorId="69E336FE" wp14:editId="4CC1AFF9">
                  <wp:simplePos x="0" y="0"/>
                  <wp:positionH relativeFrom="column">
                    <wp:posOffset>-1270</wp:posOffset>
                  </wp:positionH>
                  <wp:positionV relativeFrom="paragraph">
                    <wp:posOffset>30480</wp:posOffset>
                  </wp:positionV>
                  <wp:extent cx="2795905" cy="2125980"/>
                  <wp:effectExtent l="0" t="0" r="23495" b="26670"/>
                  <wp:wrapNone/>
                  <wp:docPr id="43" name="Grafikon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p>
          <w:tbl>
            <w:tblPr>
              <w:tblW w:w="880" w:type="dxa"/>
              <w:tblCellSpacing w:w="0" w:type="dxa"/>
              <w:tblCellMar>
                <w:left w:w="0" w:type="dxa"/>
                <w:right w:w="0" w:type="dxa"/>
              </w:tblCellMar>
              <w:tblLook w:val="04A0" w:firstRow="1" w:lastRow="0" w:firstColumn="1" w:lastColumn="0" w:noHBand="0" w:noVBand="1"/>
            </w:tblPr>
            <w:tblGrid>
              <w:gridCol w:w="880"/>
            </w:tblGrid>
            <w:tr w:rsidR="00C47E0E" w:rsidRPr="00C47E0E" w:rsidTr="00C47E0E">
              <w:trPr>
                <w:trHeight w:val="298"/>
                <w:tblCellSpacing w:w="0" w:type="dxa"/>
              </w:trPr>
              <w:tc>
                <w:tcPr>
                  <w:tcW w:w="880"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bl>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298"/>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87"/>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r w:rsidR="00C47E0E" w:rsidRPr="00C47E0E" w:rsidTr="00C47E0E">
        <w:trPr>
          <w:trHeight w:val="87"/>
        </w:trPr>
        <w:tc>
          <w:tcPr>
            <w:tcW w:w="131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7"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152"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1096"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c>
          <w:tcPr>
            <w:tcW w:w="895" w:type="dxa"/>
            <w:tcBorders>
              <w:top w:val="nil"/>
              <w:left w:val="nil"/>
              <w:bottom w:val="nil"/>
              <w:right w:val="nil"/>
            </w:tcBorders>
            <w:shd w:val="clear" w:color="auto" w:fill="auto"/>
            <w:noWrap/>
            <w:vAlign w:val="bottom"/>
            <w:hideMark/>
          </w:tcPr>
          <w:p w:rsidR="00C47E0E" w:rsidRPr="00C47E0E" w:rsidRDefault="00C47E0E" w:rsidP="00C47E0E">
            <w:pPr>
              <w:spacing w:after="0" w:line="240" w:lineRule="auto"/>
              <w:rPr>
                <w:rFonts w:ascii="Calibri" w:eastAsia="Times New Roman" w:hAnsi="Calibri" w:cs="Times New Roman"/>
                <w:color w:val="000000"/>
                <w:lang w:eastAsia="hr-HR"/>
              </w:rPr>
            </w:pPr>
          </w:p>
        </w:tc>
      </w:tr>
    </w:tbl>
    <w:p w:rsidR="000E3D14" w:rsidRPr="00C47E0E" w:rsidRDefault="00C47E0E" w:rsidP="003D0416">
      <w:pPr>
        <w:jc w:val="both"/>
        <w:rPr>
          <w:rFonts w:ascii="Times New Roman" w:hAnsi="Times New Roman" w:cs="Arial"/>
          <w:sz w:val="20"/>
        </w:rPr>
      </w:pPr>
      <w:r w:rsidRPr="00C47E0E">
        <w:rPr>
          <w:rFonts w:ascii="Times New Roman" w:hAnsi="Times New Roman" w:cs="Arial"/>
          <w:sz w:val="20"/>
        </w:rPr>
        <w:t xml:space="preserve">Izvor: KNJIGA OBRTNIKA – članova </w:t>
      </w:r>
      <w:proofErr w:type="spellStart"/>
      <w:r w:rsidRPr="00C47E0E">
        <w:rPr>
          <w:rFonts w:ascii="Times New Roman" w:hAnsi="Times New Roman" w:cs="Arial"/>
          <w:sz w:val="20"/>
        </w:rPr>
        <w:t>HOK</w:t>
      </w:r>
      <w:proofErr w:type="spellEnd"/>
      <w:r w:rsidRPr="00C47E0E">
        <w:rPr>
          <w:rFonts w:ascii="Cambria Math" w:hAnsi="Cambria Math" w:cs="Cambria Math"/>
          <w:sz w:val="20"/>
        </w:rPr>
        <w:t>‐</w:t>
      </w:r>
      <w:r w:rsidRPr="00C47E0E">
        <w:rPr>
          <w:rFonts w:ascii="Times New Roman" w:hAnsi="Times New Roman" w:cs="Arial"/>
          <w:sz w:val="20"/>
        </w:rPr>
        <w:t>a, 31.12.2011</w:t>
      </w:r>
      <w:r w:rsidR="00ED4B90">
        <w:rPr>
          <w:rFonts w:ascii="Times New Roman" w:hAnsi="Times New Roman" w:cs="Arial"/>
          <w:sz w:val="20"/>
        </w:rPr>
        <w:t>, obrada: ZADRA</w:t>
      </w:r>
    </w:p>
    <w:p w:rsidR="00C47E0E" w:rsidRDefault="00C47E0E" w:rsidP="003D0416">
      <w:pPr>
        <w:jc w:val="both"/>
        <w:rPr>
          <w:rFonts w:ascii="Times New Roman" w:hAnsi="Times New Roman" w:cs="Arial"/>
          <w:b/>
        </w:rPr>
      </w:pPr>
    </w:p>
    <w:p w:rsidR="00020FBD" w:rsidRDefault="00020FBD" w:rsidP="003D0416">
      <w:pPr>
        <w:jc w:val="both"/>
        <w:rPr>
          <w:rFonts w:ascii="Times New Roman" w:hAnsi="Times New Roman" w:cs="Arial"/>
          <w:b/>
        </w:rPr>
      </w:pPr>
    </w:p>
    <w:p w:rsidR="00AA3CB0" w:rsidRDefault="00AA3CB0" w:rsidP="003D0416">
      <w:pPr>
        <w:jc w:val="both"/>
        <w:rPr>
          <w:rFonts w:ascii="Times New Roman" w:hAnsi="Times New Roman" w:cs="Arial"/>
          <w:b/>
        </w:rPr>
      </w:pPr>
    </w:p>
    <w:p w:rsidR="00AA3CB0" w:rsidRDefault="00AA3CB0" w:rsidP="003D0416">
      <w:pPr>
        <w:jc w:val="both"/>
        <w:rPr>
          <w:rFonts w:ascii="Times New Roman" w:hAnsi="Times New Roman" w:cs="Arial"/>
          <w:b/>
        </w:rPr>
      </w:pPr>
    </w:p>
    <w:p w:rsidR="00AA3CB0" w:rsidRDefault="00AA3CB0" w:rsidP="003D0416">
      <w:pPr>
        <w:jc w:val="both"/>
        <w:rPr>
          <w:rFonts w:ascii="Times New Roman" w:hAnsi="Times New Roman" w:cs="Arial"/>
          <w:b/>
        </w:rPr>
      </w:pPr>
    </w:p>
    <w:p w:rsidR="00654271" w:rsidRDefault="00654271" w:rsidP="003D0416">
      <w:pPr>
        <w:jc w:val="both"/>
        <w:rPr>
          <w:rFonts w:ascii="Times New Roman" w:hAnsi="Times New Roman" w:cs="Arial"/>
          <w:b/>
        </w:rPr>
      </w:pPr>
    </w:p>
    <w:p w:rsidR="00D80A89" w:rsidRPr="0016137A" w:rsidRDefault="00D80A89" w:rsidP="00D80A89">
      <w:pPr>
        <w:rPr>
          <w:rFonts w:ascii="Corbel" w:hAnsi="Corbel" w:cstheme="minorHAnsi"/>
          <w:b/>
          <w:i/>
          <w:color w:val="7F7F7F" w:themeColor="text1" w:themeTint="80"/>
          <w:sz w:val="20"/>
        </w:rPr>
      </w:pPr>
      <w:r w:rsidRPr="0016137A">
        <w:rPr>
          <w:rFonts w:ascii="Corbel" w:hAnsi="Corbel" w:cstheme="minorHAnsi"/>
          <w:b/>
          <w:i/>
          <w:color w:val="7F7F7F" w:themeColor="text1" w:themeTint="80"/>
          <w:sz w:val="20"/>
        </w:rPr>
        <w:lastRenderedPageBreak/>
        <w:t>PREGLED GOSPODARSKIH PERFORMANSI GRADA</w:t>
      </w:r>
    </w:p>
    <w:p w:rsidR="00D80A89" w:rsidRPr="0016137A" w:rsidRDefault="00D80A89" w:rsidP="00E16746">
      <w:pPr>
        <w:pBdr>
          <w:left w:val="single" w:sz="4" w:space="4" w:color="4F81BD" w:themeColor="accent1"/>
        </w:pBdr>
        <w:spacing w:afterLines="60" w:after="144"/>
        <w:ind w:left="360"/>
        <w:jc w:val="both"/>
        <w:rPr>
          <w:rFonts w:ascii="Corbel" w:hAnsi="Corbel" w:cstheme="minorHAnsi"/>
          <w:b/>
          <w:color w:val="7F7F7F" w:themeColor="text1" w:themeTint="80"/>
          <w:sz w:val="20"/>
        </w:rPr>
      </w:pPr>
      <w:r w:rsidRPr="0016137A">
        <w:rPr>
          <w:rFonts w:ascii="Corbel" w:hAnsi="Corbel" w:cstheme="minorHAnsi"/>
          <w:b/>
          <w:color w:val="7F7F7F" w:themeColor="text1" w:themeTint="80"/>
          <w:sz w:val="20"/>
        </w:rPr>
        <w:t>STRUKTURA GOSPODARSTVA</w:t>
      </w:r>
    </w:p>
    <w:p w:rsidR="00D80A89" w:rsidRPr="0016137A" w:rsidRDefault="00D80A89" w:rsidP="00E16746">
      <w:pPr>
        <w:pStyle w:val="Odlomakpopisa"/>
        <w:numPr>
          <w:ilvl w:val="0"/>
          <w:numId w:val="25"/>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 xml:space="preserve">U gradu Zadru </w:t>
      </w:r>
      <w:r w:rsidRPr="0016137A">
        <w:rPr>
          <w:rFonts w:ascii="Corbel" w:hAnsi="Corbel" w:cstheme="minorHAnsi"/>
          <w:b/>
          <w:color w:val="7F7F7F" w:themeColor="text1" w:themeTint="80"/>
          <w:sz w:val="20"/>
        </w:rPr>
        <w:t>40% zaposlenih u ukupnom gospodarstvu</w:t>
      </w:r>
      <w:r w:rsidRPr="0016137A">
        <w:rPr>
          <w:rFonts w:ascii="Corbel" w:hAnsi="Corbel" w:cstheme="minorHAnsi"/>
          <w:color w:val="7F7F7F" w:themeColor="text1" w:themeTint="80"/>
          <w:sz w:val="20"/>
        </w:rPr>
        <w:t xml:space="preserve"> grada čine prerađivačka industrija (8%), građevinarstvo (6%), trgovina (20%), prijevoz i skladištenje (6%). Uz njih su još sa 9% zastupljene financijske djelatnosti i djelatnosti osiguranja, te djelatnost administrativne i pomoćne uslužne djelatnosti;</w:t>
      </w:r>
    </w:p>
    <w:p w:rsidR="00D80A89" w:rsidRPr="0016137A" w:rsidRDefault="00D80A89" w:rsidP="00E16746">
      <w:pPr>
        <w:pStyle w:val="Odlomakpopisa"/>
        <w:numPr>
          <w:ilvl w:val="0"/>
          <w:numId w:val="25"/>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b/>
          <w:color w:val="7F7F7F" w:themeColor="text1" w:themeTint="80"/>
          <w:sz w:val="20"/>
        </w:rPr>
        <w:t>Gospodarska baza grada je diversificirana</w:t>
      </w:r>
      <w:r w:rsidRPr="0016137A">
        <w:rPr>
          <w:rFonts w:ascii="Corbel" w:hAnsi="Corbel" w:cstheme="minorHAnsi"/>
          <w:color w:val="7F7F7F" w:themeColor="text1" w:themeTint="80"/>
          <w:sz w:val="20"/>
        </w:rPr>
        <w:t>, tj. većina djelatnosti je ravnomjerno zastupljena u strukturi gospodarstva grada (odskače jedino trgovina);</w:t>
      </w:r>
    </w:p>
    <w:p w:rsidR="00D80A89" w:rsidRPr="0016137A" w:rsidRDefault="00D80A89" w:rsidP="00E16746">
      <w:pPr>
        <w:pStyle w:val="Odlomakpopisa"/>
        <w:numPr>
          <w:ilvl w:val="0"/>
          <w:numId w:val="25"/>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 xml:space="preserve">Zadar se u odnosu na RH  specijalizirao u djelatnostima </w:t>
      </w:r>
      <w:r w:rsidRPr="0016137A">
        <w:rPr>
          <w:rFonts w:ascii="Corbel" w:hAnsi="Corbel" w:cstheme="minorHAnsi"/>
          <w:b/>
          <w:color w:val="7F7F7F" w:themeColor="text1" w:themeTint="80"/>
          <w:sz w:val="20"/>
          <w:u w:val="single"/>
        </w:rPr>
        <w:t>od kojih se ni jedna ne može okarakterizirati kao proizvodna djelatnost</w:t>
      </w:r>
      <w:r w:rsidRPr="0016137A">
        <w:rPr>
          <w:rFonts w:ascii="Corbel" w:hAnsi="Corbel" w:cstheme="minorHAnsi"/>
          <w:color w:val="7F7F7F" w:themeColor="text1" w:themeTint="80"/>
          <w:sz w:val="20"/>
        </w:rPr>
        <w:t xml:space="preserve">. </w:t>
      </w:r>
      <w:r w:rsidRPr="0016137A">
        <w:rPr>
          <w:rFonts w:ascii="Corbel" w:hAnsi="Corbel" w:cstheme="minorHAnsi"/>
          <w:b/>
          <w:color w:val="7F7F7F" w:themeColor="text1" w:themeTint="80"/>
          <w:sz w:val="20"/>
        </w:rPr>
        <w:t xml:space="preserve"> Jakosti Zadra prepoznate su u mnogim tipovima ne proizvodnih aktivnosti</w:t>
      </w:r>
      <w:r w:rsidRPr="0016137A">
        <w:rPr>
          <w:rFonts w:ascii="Corbel" w:hAnsi="Corbel" w:cstheme="minorHAnsi"/>
          <w:color w:val="7F7F7F" w:themeColor="text1" w:themeTint="80"/>
          <w:sz w:val="20"/>
        </w:rPr>
        <w:t xml:space="preserve">, </w:t>
      </w:r>
      <w:r w:rsidRPr="0016137A">
        <w:rPr>
          <w:rFonts w:ascii="Corbel" w:hAnsi="Corbel" w:cstheme="minorHAnsi"/>
          <w:b/>
          <w:color w:val="7F7F7F" w:themeColor="text1" w:themeTint="80"/>
          <w:sz w:val="20"/>
        </w:rPr>
        <w:t>posebno u administrativnim, trgovačkim, smještajno-ugostiteljskim, financijskim i prometnim aktivnostima;</w:t>
      </w:r>
    </w:p>
    <w:p w:rsidR="00D80A89" w:rsidRPr="0016137A" w:rsidRDefault="00D80A89" w:rsidP="00E16746">
      <w:pPr>
        <w:pStyle w:val="Odlomakpopisa"/>
        <w:numPr>
          <w:ilvl w:val="0"/>
          <w:numId w:val="25"/>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 xml:space="preserve">U gradu Zadru djelatnost sa najvećim udjelom u zaposlenosti u odnosu na RH je djelatnost administrativnih i pomoćnih uslužnih djelatnosti (1,90) koja je pretežno sačinjena od </w:t>
      </w:r>
      <w:r w:rsidRPr="0016137A">
        <w:rPr>
          <w:rFonts w:ascii="Corbel" w:hAnsi="Corbel" w:cstheme="minorHAnsi"/>
          <w:b/>
          <w:color w:val="7F7F7F" w:themeColor="text1" w:themeTint="80"/>
          <w:sz w:val="20"/>
        </w:rPr>
        <w:t>tvrtki za iznajmljivanje (</w:t>
      </w:r>
      <w:proofErr w:type="spellStart"/>
      <w:r w:rsidRPr="0016137A">
        <w:rPr>
          <w:rFonts w:ascii="Corbel" w:hAnsi="Corbel" w:cstheme="minorHAnsi"/>
          <w:b/>
          <w:color w:val="7F7F7F" w:themeColor="text1" w:themeTint="80"/>
          <w:sz w:val="20"/>
        </w:rPr>
        <w:t>charter</w:t>
      </w:r>
      <w:proofErr w:type="spellEnd"/>
      <w:r w:rsidRPr="0016137A">
        <w:rPr>
          <w:rFonts w:ascii="Corbel" w:hAnsi="Corbel" w:cstheme="minorHAnsi"/>
          <w:b/>
          <w:color w:val="7F7F7F" w:themeColor="text1" w:themeTint="80"/>
          <w:sz w:val="20"/>
        </w:rPr>
        <w:t>), putničkih agencija, zaštitarskih tvrtki i tvrtki za održavanje</w:t>
      </w:r>
      <w:r w:rsidRPr="0016137A">
        <w:rPr>
          <w:rFonts w:ascii="Corbel" w:hAnsi="Corbel" w:cstheme="minorHAnsi"/>
          <w:color w:val="7F7F7F" w:themeColor="text1" w:themeTint="80"/>
          <w:sz w:val="20"/>
        </w:rPr>
        <w:t>;</w:t>
      </w:r>
    </w:p>
    <w:p w:rsidR="00D80A89" w:rsidRPr="0016137A" w:rsidRDefault="00D80A89" w:rsidP="00E16746">
      <w:pPr>
        <w:pStyle w:val="Odlomakpopisa"/>
        <w:numPr>
          <w:ilvl w:val="0"/>
          <w:numId w:val="25"/>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b/>
          <w:color w:val="7F7F7F" w:themeColor="text1" w:themeTint="80"/>
          <w:sz w:val="20"/>
        </w:rPr>
        <w:t>Ribarstvo i prerada ribe</w:t>
      </w:r>
      <w:r w:rsidRPr="0016137A">
        <w:rPr>
          <w:rFonts w:ascii="Corbel" w:hAnsi="Corbel" w:cstheme="minorHAnsi"/>
          <w:color w:val="7F7F7F" w:themeColor="text1" w:themeTint="80"/>
          <w:sz w:val="20"/>
        </w:rPr>
        <w:t xml:space="preserve"> tradicionalno su sektor u kojemu Zadarska županija prednjači naspram ostalih županija u RH. Grad Zadar kao urbani centar županije ribarima služi za plasman ribe i logistiku, stoga se snažna ribarska industrija županije ne može zamisliti bez potpore Zadra;</w:t>
      </w:r>
    </w:p>
    <w:p w:rsidR="00D80A89" w:rsidRPr="0016137A" w:rsidRDefault="00D80A89" w:rsidP="00E16746">
      <w:pPr>
        <w:pStyle w:val="Odlomakpopisa"/>
        <w:numPr>
          <w:ilvl w:val="0"/>
          <w:numId w:val="25"/>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Analiza gradova u RH  pokazuje da su gradovi „gubitnici“  oni koji su imali veću koncentraciju odnosno usku gospodarsku strukturu (dominiraju jedna ili dvije djelatnosti). Nasuprot toj skupini su gradovi (među kojima je i Zadar) s relativno širokom gospodarskom strukturom koji zadržavaju pozitivnu demografsku dinamiku i koji su pokazali veću otpornost na pad zaposlenosti u aktualnoj gospodarskoj krizi;</w:t>
      </w:r>
    </w:p>
    <w:p w:rsidR="00D80A89" w:rsidRPr="0016137A" w:rsidRDefault="00D80A89" w:rsidP="00E16746">
      <w:pPr>
        <w:pBdr>
          <w:left w:val="single" w:sz="4" w:space="4" w:color="4F81BD" w:themeColor="accent1"/>
        </w:pBdr>
        <w:spacing w:afterLines="60" w:after="144" w:line="240" w:lineRule="auto"/>
        <w:ind w:left="360"/>
        <w:jc w:val="both"/>
        <w:rPr>
          <w:rFonts w:ascii="Corbel" w:hAnsi="Corbel" w:cstheme="minorHAnsi"/>
          <w:b/>
          <w:color w:val="7F7F7F" w:themeColor="text1" w:themeTint="80"/>
          <w:sz w:val="20"/>
        </w:rPr>
      </w:pPr>
      <w:r w:rsidRPr="0016137A">
        <w:rPr>
          <w:rFonts w:ascii="Corbel" w:hAnsi="Corbel" w:cstheme="minorHAnsi"/>
          <w:b/>
          <w:color w:val="7F7F7F" w:themeColor="text1" w:themeTint="80"/>
          <w:sz w:val="20"/>
        </w:rPr>
        <w:t>DINAMIKA GOSPODARSKOG RASTA</w:t>
      </w:r>
    </w:p>
    <w:p w:rsidR="00D80A89" w:rsidRPr="0016137A" w:rsidRDefault="00D80A89" w:rsidP="00E16746">
      <w:pPr>
        <w:pStyle w:val="Odlomakpopisa"/>
        <w:numPr>
          <w:ilvl w:val="0"/>
          <w:numId w:val="26"/>
        </w:numPr>
        <w:pBdr>
          <w:left w:val="single" w:sz="4" w:space="4" w:color="4F81BD" w:themeColor="accent1"/>
        </w:pBdr>
        <w:spacing w:afterLines="60" w:after="144" w:line="240" w:lineRule="auto"/>
        <w:jc w:val="both"/>
        <w:rPr>
          <w:rFonts w:ascii="Corbel" w:hAnsi="Corbel" w:cstheme="minorHAnsi"/>
          <w:color w:val="808080" w:themeColor="background1" w:themeShade="80"/>
          <w:sz w:val="20"/>
        </w:rPr>
      </w:pPr>
      <w:r w:rsidRPr="0016137A">
        <w:rPr>
          <w:rFonts w:ascii="Corbel" w:hAnsi="Corbel" w:cs="Arial"/>
          <w:color w:val="808080" w:themeColor="background1" w:themeShade="80"/>
          <w:sz w:val="20"/>
        </w:rPr>
        <w:t>Gospodarstvo grada je od 2001.-2008. naraslo za 20,14 % (RH 11,13%; Istra 20,24%) i to</w:t>
      </w:r>
      <w:r w:rsidRPr="0016137A">
        <w:rPr>
          <w:rFonts w:ascii="Corbel" w:hAnsi="Corbel" w:cs="Arial"/>
          <w:b/>
          <w:color w:val="808080" w:themeColor="background1" w:themeShade="80"/>
          <w:sz w:val="20"/>
        </w:rPr>
        <w:t xml:space="preserve"> ponajviše kao rezultat rasta trgovine, javnog sektora, građevinskog sektora, te poslovanja nekretninama, iznajmljivanje i poslovnih usluga</w:t>
      </w:r>
      <w:r w:rsidRPr="0016137A">
        <w:rPr>
          <w:rFonts w:ascii="Corbel" w:hAnsi="Corbel" w:cs="Arial"/>
          <w:color w:val="808080" w:themeColor="background1" w:themeShade="80"/>
          <w:sz w:val="20"/>
        </w:rPr>
        <w:t xml:space="preserve">. Rast ovih sektora stvorio je ukupno </w:t>
      </w:r>
      <w:r w:rsidRPr="0016137A">
        <w:rPr>
          <w:rFonts w:ascii="Corbel" w:hAnsi="Corbel" w:cs="Arial"/>
          <w:b/>
          <w:color w:val="808080" w:themeColor="background1" w:themeShade="80"/>
          <w:sz w:val="20"/>
        </w:rPr>
        <w:t>4.486 novih radnih mjesta</w:t>
      </w:r>
      <w:r w:rsidRPr="0016137A">
        <w:rPr>
          <w:rFonts w:ascii="Corbel" w:hAnsi="Corbel" w:cs="Arial"/>
          <w:color w:val="808080" w:themeColor="background1" w:themeShade="80"/>
          <w:sz w:val="20"/>
        </w:rPr>
        <w:t xml:space="preserve"> u Zadru.</w:t>
      </w:r>
    </w:p>
    <w:p w:rsidR="00D80A89" w:rsidRPr="0016137A" w:rsidRDefault="00D80A89" w:rsidP="00E16746">
      <w:pPr>
        <w:pStyle w:val="Odlomakpopisa"/>
        <w:numPr>
          <w:ilvl w:val="0"/>
          <w:numId w:val="26"/>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 xml:space="preserve">Zabrinjavajuća je brzina opadanja </w:t>
      </w:r>
      <w:r w:rsidRPr="0016137A">
        <w:rPr>
          <w:rFonts w:ascii="Corbel" w:hAnsi="Corbel" w:cstheme="minorHAnsi"/>
          <w:b/>
          <w:color w:val="7F7F7F" w:themeColor="text1" w:themeTint="80"/>
          <w:sz w:val="20"/>
        </w:rPr>
        <w:t>prerađivačke industrije</w:t>
      </w:r>
      <w:r w:rsidRPr="0016137A">
        <w:rPr>
          <w:rFonts w:ascii="Corbel" w:hAnsi="Corbel" w:cstheme="minorHAnsi"/>
          <w:color w:val="7F7F7F" w:themeColor="text1" w:themeTint="80"/>
          <w:sz w:val="20"/>
        </w:rPr>
        <w:t xml:space="preserve"> koja je pretrpjela najveći postotak pada zaposlenosti (-32,68%),  te je u Zadru </w:t>
      </w:r>
      <w:r w:rsidRPr="0016137A">
        <w:rPr>
          <w:rFonts w:ascii="Corbel" w:hAnsi="Corbel" w:cstheme="minorHAnsi"/>
          <w:b/>
          <w:color w:val="7F7F7F" w:themeColor="text1" w:themeTint="80"/>
          <w:sz w:val="20"/>
        </w:rPr>
        <w:t>značajno brže opadala od prosječnog pada RH</w:t>
      </w:r>
      <w:r w:rsidRPr="0016137A">
        <w:rPr>
          <w:rFonts w:ascii="Corbel" w:hAnsi="Corbel" w:cstheme="minorHAnsi"/>
          <w:color w:val="7F7F7F" w:themeColor="text1" w:themeTint="80"/>
          <w:sz w:val="20"/>
        </w:rPr>
        <w:t xml:space="preserve"> prerađivačke industrije;</w:t>
      </w:r>
    </w:p>
    <w:p w:rsidR="00D80A89" w:rsidRPr="0016137A" w:rsidRDefault="00D80A89" w:rsidP="00E16746">
      <w:pPr>
        <w:pStyle w:val="Odlomakpopisa"/>
        <w:numPr>
          <w:ilvl w:val="0"/>
          <w:numId w:val="26"/>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 xml:space="preserve">Jedina dva sektora koja su rasla više od prosjeka su </w:t>
      </w:r>
      <w:r w:rsidRPr="0016137A">
        <w:rPr>
          <w:rFonts w:ascii="Corbel" w:hAnsi="Corbel" w:cstheme="minorHAnsi"/>
          <w:b/>
          <w:color w:val="7F7F7F" w:themeColor="text1" w:themeTint="80"/>
          <w:sz w:val="20"/>
        </w:rPr>
        <w:t>trgovina te financijsko posredovanje</w:t>
      </w:r>
      <w:r w:rsidRPr="0016137A">
        <w:rPr>
          <w:rFonts w:ascii="Corbel" w:hAnsi="Corbel" w:cstheme="minorHAnsi"/>
          <w:color w:val="7F7F7F" w:themeColor="text1" w:themeTint="80"/>
          <w:sz w:val="20"/>
        </w:rPr>
        <w:t xml:space="preserve">, što znači da su znali iskoristiti lokalnu konkurentsku prednost koju ima Zadar u odnosu na druga područja RH; </w:t>
      </w:r>
    </w:p>
    <w:p w:rsidR="00D80A89" w:rsidRPr="0016137A" w:rsidRDefault="00D80A89" w:rsidP="00E16746">
      <w:pPr>
        <w:pStyle w:val="Odlomakpopisa"/>
        <w:numPr>
          <w:ilvl w:val="0"/>
          <w:numId w:val="26"/>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Rast zadarskog gospodarstva u dobrom djelu možemo pripisati rastu nacionalne ekonomije (kao i većina gradova RH). U strukturi djelatnosti Zadar naginje onim industrijama koje na nacionalnoj razini rastu brže;</w:t>
      </w:r>
    </w:p>
    <w:p w:rsidR="00D80A89" w:rsidRPr="0016137A" w:rsidRDefault="00D80A89" w:rsidP="00E16746">
      <w:pPr>
        <w:pStyle w:val="Odlomakpopisa"/>
        <w:numPr>
          <w:ilvl w:val="0"/>
          <w:numId w:val="26"/>
        </w:numPr>
        <w:pBdr>
          <w:left w:val="single" w:sz="4" w:space="4" w:color="4F81BD" w:themeColor="accent1"/>
        </w:pBdr>
        <w:spacing w:afterLines="60" w:after="144" w:line="240" w:lineRule="auto"/>
        <w:jc w:val="both"/>
        <w:rPr>
          <w:rFonts w:ascii="Corbel" w:hAnsi="Corbel" w:cstheme="minorHAnsi"/>
          <w:color w:val="7F7F7F" w:themeColor="text1" w:themeTint="80"/>
          <w:sz w:val="20"/>
        </w:rPr>
      </w:pPr>
      <w:r w:rsidRPr="0016137A">
        <w:rPr>
          <w:rFonts w:ascii="Corbel" w:hAnsi="Corbel" w:cstheme="minorHAnsi"/>
          <w:color w:val="7F7F7F" w:themeColor="text1" w:themeTint="80"/>
          <w:sz w:val="20"/>
        </w:rPr>
        <w:t xml:space="preserve">U usporedbi s 2009. godinom, najsnažnije su pogođene djelatnosti pružanja smještaja te pripreme i usluživanja hrane (-21.25%) , prerađivačka industrija (- 21,15%), te građevinarstvo (- 32,21%). Te djelatnosti čine oko 20% zaposlenosti u pravnim osobama. Smanjenje broja zaposlenih umjerenije je u trgovini i prijevozu te većini poslovnih usluga, a </w:t>
      </w:r>
      <w:proofErr w:type="spellStart"/>
      <w:r w:rsidRPr="0016137A">
        <w:rPr>
          <w:rFonts w:ascii="Corbel" w:hAnsi="Corbel" w:cstheme="minorHAnsi"/>
          <w:color w:val="7F7F7F" w:themeColor="text1" w:themeTint="80"/>
          <w:sz w:val="20"/>
        </w:rPr>
        <w:t>nezamjetno</w:t>
      </w:r>
      <w:proofErr w:type="spellEnd"/>
      <w:r w:rsidRPr="0016137A">
        <w:rPr>
          <w:rFonts w:ascii="Corbel" w:hAnsi="Corbel" w:cstheme="minorHAnsi"/>
          <w:color w:val="7F7F7F" w:themeColor="text1" w:themeTint="80"/>
          <w:sz w:val="20"/>
        </w:rPr>
        <w:t xml:space="preserve"> u djelatnostima gdje dominira javni sektor.</w:t>
      </w:r>
    </w:p>
    <w:p w:rsidR="00D80A89" w:rsidRPr="0016137A" w:rsidRDefault="00D80A89" w:rsidP="00E16746">
      <w:pPr>
        <w:pBdr>
          <w:left w:val="single" w:sz="4" w:space="4" w:color="4F81BD" w:themeColor="accent1"/>
        </w:pBdr>
        <w:spacing w:afterLines="60" w:after="144" w:line="240" w:lineRule="auto"/>
        <w:ind w:left="360"/>
        <w:jc w:val="both"/>
        <w:rPr>
          <w:rFonts w:ascii="Corbel" w:hAnsi="Corbel" w:cstheme="minorHAnsi"/>
          <w:b/>
          <w:color w:val="7F7F7F" w:themeColor="text1" w:themeTint="80"/>
          <w:sz w:val="20"/>
        </w:rPr>
      </w:pPr>
      <w:r w:rsidRPr="0016137A">
        <w:rPr>
          <w:rFonts w:ascii="Corbel" w:hAnsi="Corbel" w:cstheme="minorHAnsi"/>
          <w:b/>
          <w:color w:val="7F7F7F" w:themeColor="text1" w:themeTint="80"/>
          <w:sz w:val="20"/>
        </w:rPr>
        <w:t>ROBNA RAZMJENA SA INOZEMSTVOM</w:t>
      </w:r>
    </w:p>
    <w:p w:rsidR="00D80A89" w:rsidRPr="0016137A" w:rsidRDefault="00D80A89" w:rsidP="00E16746">
      <w:pPr>
        <w:pStyle w:val="Odlomakpopisa"/>
        <w:numPr>
          <w:ilvl w:val="0"/>
          <w:numId w:val="27"/>
        </w:numPr>
        <w:pBdr>
          <w:left w:val="single" w:sz="4" w:space="4" w:color="4F81BD" w:themeColor="accent1"/>
        </w:pBdr>
        <w:spacing w:afterLines="60" w:after="144" w:line="240" w:lineRule="auto"/>
        <w:jc w:val="both"/>
        <w:rPr>
          <w:rFonts w:ascii="Corbel" w:hAnsi="Corbel" w:cstheme="minorHAnsi"/>
          <w:b/>
          <w:color w:val="808080" w:themeColor="background1" w:themeShade="80"/>
          <w:sz w:val="20"/>
        </w:rPr>
      </w:pPr>
      <w:r w:rsidRPr="0016137A">
        <w:rPr>
          <w:rFonts w:ascii="Corbel" w:eastAsia="Times New Roman" w:hAnsi="Corbel" w:cs="Times New Roman"/>
          <w:color w:val="808080" w:themeColor="background1" w:themeShade="80"/>
          <w:sz w:val="20"/>
          <w:lang w:eastAsia="hr-HR"/>
        </w:rPr>
        <w:t xml:space="preserve">Analiza pokazuje kako izvoz i uvoz kontinuirano rastu u Zadru, Zadarskoj županiji i RH od 2006.-2009., i to je trend koji je nastavljen od kraja 90-ih . U 2009. godini dolazi do značajnog pada uvoza i izvoza uzrokovanih gospodarskom krizom i smanjenjem potrošnje. </w:t>
      </w:r>
      <w:r w:rsidRPr="0016137A">
        <w:rPr>
          <w:rFonts w:ascii="Corbel" w:eastAsia="Times New Roman" w:hAnsi="Corbel" w:cs="Times New Roman"/>
          <w:b/>
          <w:color w:val="808080" w:themeColor="background1" w:themeShade="80"/>
          <w:sz w:val="20"/>
          <w:lang w:eastAsia="hr-HR"/>
        </w:rPr>
        <w:t>Kriza je posebno jako pogodila izvoznike iz grada Zadra</w:t>
      </w:r>
      <w:r w:rsidRPr="0016137A">
        <w:rPr>
          <w:rFonts w:ascii="Corbel" w:eastAsia="Times New Roman" w:hAnsi="Corbel" w:cs="Times New Roman"/>
          <w:color w:val="808080" w:themeColor="background1" w:themeShade="80"/>
          <w:sz w:val="20"/>
          <w:lang w:eastAsia="hr-HR"/>
        </w:rPr>
        <w:t xml:space="preserve"> te je kulminirala u 2010. godini kada je izvoz opao za više od 32% u odnosu na 2006. godinu;</w:t>
      </w:r>
    </w:p>
    <w:p w:rsidR="00D80A89" w:rsidRPr="0016137A" w:rsidRDefault="00D80A89" w:rsidP="00E16746">
      <w:pPr>
        <w:pStyle w:val="Odlomakpopisa"/>
        <w:numPr>
          <w:ilvl w:val="0"/>
          <w:numId w:val="27"/>
        </w:numPr>
        <w:pBdr>
          <w:left w:val="single" w:sz="4" w:space="4" w:color="4F81BD" w:themeColor="accent1"/>
        </w:pBdr>
        <w:spacing w:afterLines="60" w:after="144" w:line="240" w:lineRule="auto"/>
        <w:jc w:val="both"/>
        <w:rPr>
          <w:rFonts w:ascii="Corbel" w:hAnsi="Corbel" w:cstheme="minorHAnsi"/>
          <w:b/>
          <w:color w:val="808080" w:themeColor="background1" w:themeShade="80"/>
          <w:sz w:val="20"/>
        </w:rPr>
      </w:pPr>
      <w:r w:rsidRPr="0016137A">
        <w:rPr>
          <w:rFonts w:ascii="Corbel" w:eastAsia="Times New Roman" w:hAnsi="Corbel" w:cs="Times New Roman"/>
          <w:b/>
          <w:color w:val="808080" w:themeColor="background1" w:themeShade="80"/>
          <w:sz w:val="20"/>
          <w:szCs w:val="24"/>
          <w:lang w:eastAsia="hr-HR"/>
        </w:rPr>
        <w:t xml:space="preserve">Zadar je od odabranih gradova jedini grad kojemu je izvoz na 15% od izvoza cijele županije </w:t>
      </w:r>
      <w:r w:rsidRPr="0016137A">
        <w:rPr>
          <w:rFonts w:ascii="Corbel" w:eastAsia="Times New Roman" w:hAnsi="Corbel" w:cs="Times New Roman"/>
          <w:color w:val="808080" w:themeColor="background1" w:themeShade="80"/>
          <w:sz w:val="20"/>
          <w:szCs w:val="24"/>
          <w:lang w:eastAsia="hr-HR"/>
        </w:rPr>
        <w:t>što znači da su se izvozne firme iz Zadra uglavnom rasporedile na ruralnim područjima županije;</w:t>
      </w:r>
    </w:p>
    <w:p w:rsidR="00D80A89" w:rsidRPr="0016137A" w:rsidRDefault="00D80A89" w:rsidP="00E16746">
      <w:pPr>
        <w:pStyle w:val="Odlomakpopisa"/>
        <w:numPr>
          <w:ilvl w:val="0"/>
          <w:numId w:val="27"/>
        </w:numPr>
        <w:pBdr>
          <w:left w:val="single" w:sz="4" w:space="4" w:color="4F81BD" w:themeColor="accent1"/>
        </w:pBdr>
        <w:spacing w:afterLines="60" w:after="144" w:line="240" w:lineRule="auto"/>
        <w:jc w:val="both"/>
        <w:rPr>
          <w:rFonts w:cstheme="minorHAnsi"/>
          <w:color w:val="808080" w:themeColor="background1" w:themeShade="80"/>
          <w:sz w:val="20"/>
        </w:rPr>
      </w:pPr>
      <w:r w:rsidRPr="0016137A">
        <w:rPr>
          <w:rFonts w:ascii="Corbel" w:eastAsia="Times New Roman" w:hAnsi="Corbel" w:cs="Times New Roman"/>
          <w:color w:val="808080" w:themeColor="background1" w:themeShade="80"/>
          <w:sz w:val="20"/>
          <w:szCs w:val="24"/>
          <w:lang w:eastAsia="hr-HR"/>
        </w:rPr>
        <w:t xml:space="preserve">Usporedni podaci o ukupnom izvozu poduzetnika sa područja grada pokazuju </w:t>
      </w:r>
      <w:r w:rsidRPr="0016137A">
        <w:rPr>
          <w:rFonts w:ascii="Corbel" w:eastAsia="Times New Roman" w:hAnsi="Corbel" w:cs="Times New Roman"/>
          <w:b/>
          <w:color w:val="808080" w:themeColor="background1" w:themeShade="80"/>
          <w:sz w:val="20"/>
          <w:szCs w:val="24"/>
          <w:lang w:eastAsia="hr-HR"/>
        </w:rPr>
        <w:t>slabosti Zadra naspram ostalih Jadranskih gradova</w:t>
      </w:r>
      <w:r w:rsidRPr="0016137A">
        <w:rPr>
          <w:rFonts w:ascii="Corbel" w:eastAsia="Times New Roman" w:hAnsi="Corbel" w:cs="Times New Roman"/>
          <w:color w:val="808080" w:themeColor="background1" w:themeShade="80"/>
          <w:sz w:val="20"/>
          <w:szCs w:val="24"/>
          <w:lang w:eastAsia="hr-HR"/>
        </w:rPr>
        <w:t xml:space="preserve">. Zadar je na začelju prema iznosu ukupnog izvoza u 2011. godini; te </w:t>
      </w:r>
      <w:r w:rsidRPr="0016137A">
        <w:rPr>
          <w:rFonts w:cstheme="minorHAnsi"/>
          <w:color w:val="808080" w:themeColor="background1" w:themeShade="80"/>
          <w:sz w:val="20"/>
        </w:rPr>
        <w:t>ima najmanji udio zaposlenih u izvozu</w:t>
      </w:r>
      <w:r w:rsidRPr="0016137A">
        <w:rPr>
          <w:rFonts w:ascii="Corbel" w:hAnsi="Corbel"/>
          <w:sz w:val="20"/>
        </w:rPr>
        <w:t xml:space="preserve"> </w:t>
      </w:r>
      <w:r w:rsidRPr="0016137A">
        <w:rPr>
          <w:rFonts w:cstheme="minorHAnsi"/>
          <w:color w:val="808080" w:themeColor="background1" w:themeShade="80"/>
          <w:sz w:val="20"/>
        </w:rPr>
        <w:t>od svih odabranih Jadranskih gradova</w:t>
      </w:r>
    </w:p>
    <w:p w:rsidR="00D80A89" w:rsidRPr="0016137A" w:rsidRDefault="00D80A89" w:rsidP="00E16746">
      <w:pPr>
        <w:pBdr>
          <w:left w:val="single" w:sz="4" w:space="4" w:color="4F81BD" w:themeColor="accent1"/>
        </w:pBdr>
        <w:spacing w:afterLines="60" w:after="144" w:line="240" w:lineRule="auto"/>
        <w:ind w:left="360"/>
        <w:jc w:val="both"/>
        <w:rPr>
          <w:rFonts w:ascii="Corbel" w:hAnsi="Corbel" w:cstheme="minorHAnsi"/>
          <w:b/>
          <w:color w:val="7F7F7F" w:themeColor="text1" w:themeTint="80"/>
          <w:sz w:val="20"/>
        </w:rPr>
      </w:pPr>
      <w:r w:rsidRPr="0016137A">
        <w:rPr>
          <w:rFonts w:ascii="Corbel" w:hAnsi="Corbel" w:cstheme="minorHAnsi"/>
          <w:b/>
          <w:color w:val="7F7F7F" w:themeColor="text1" w:themeTint="80"/>
          <w:sz w:val="20"/>
        </w:rPr>
        <w:lastRenderedPageBreak/>
        <w:t>INVESTICIJE</w:t>
      </w:r>
    </w:p>
    <w:p w:rsidR="00D80A89" w:rsidRPr="0016137A" w:rsidRDefault="00D80A89" w:rsidP="00E16746">
      <w:pPr>
        <w:pStyle w:val="Odlomakpopisa"/>
        <w:numPr>
          <w:ilvl w:val="0"/>
          <w:numId w:val="27"/>
        </w:numPr>
        <w:pBdr>
          <w:left w:val="single" w:sz="4" w:space="4" w:color="4F81BD" w:themeColor="accent1"/>
        </w:pBdr>
        <w:spacing w:afterLines="60" w:after="144" w:line="240" w:lineRule="auto"/>
        <w:jc w:val="both"/>
        <w:rPr>
          <w:rFonts w:cstheme="minorHAnsi"/>
          <w:color w:val="808080" w:themeColor="background1" w:themeShade="80"/>
          <w:sz w:val="20"/>
        </w:rPr>
      </w:pPr>
      <w:r w:rsidRPr="0016137A">
        <w:rPr>
          <w:rFonts w:cstheme="minorHAnsi"/>
          <w:color w:val="808080" w:themeColor="background1" w:themeShade="80"/>
          <w:sz w:val="20"/>
        </w:rPr>
        <w:t>Investicije su od 2001.-2008. narasle za 128,5% što ukazuje na povećanje investicijskih kapacitete investitora u tom razdoblju</w:t>
      </w:r>
    </w:p>
    <w:p w:rsidR="00D80A89" w:rsidRPr="0016137A" w:rsidRDefault="00D80A89" w:rsidP="00E16746">
      <w:pPr>
        <w:pStyle w:val="Odlomakpopisa"/>
        <w:numPr>
          <w:ilvl w:val="0"/>
          <w:numId w:val="27"/>
        </w:numPr>
        <w:pBdr>
          <w:left w:val="single" w:sz="4" w:space="4" w:color="4F81BD" w:themeColor="accent1"/>
        </w:pBdr>
        <w:spacing w:afterLines="60" w:after="144" w:line="240" w:lineRule="auto"/>
        <w:jc w:val="both"/>
        <w:rPr>
          <w:rFonts w:cstheme="minorHAnsi"/>
          <w:color w:val="808080" w:themeColor="background1" w:themeShade="80"/>
          <w:sz w:val="20"/>
        </w:rPr>
      </w:pPr>
      <w:r w:rsidRPr="0016137A">
        <w:rPr>
          <w:rFonts w:cstheme="minorHAnsi"/>
          <w:color w:val="808080" w:themeColor="background1" w:themeShade="80"/>
          <w:sz w:val="20"/>
        </w:rPr>
        <w:t xml:space="preserve">Nakon 2008. godine dolazi do ogromnog pada investicija, te investicije u </w:t>
      </w:r>
      <w:proofErr w:type="spellStart"/>
      <w:r w:rsidRPr="0016137A">
        <w:rPr>
          <w:rFonts w:cstheme="minorHAnsi"/>
          <w:color w:val="808080" w:themeColor="background1" w:themeShade="80"/>
          <w:sz w:val="20"/>
        </w:rPr>
        <w:t>ZŽ</w:t>
      </w:r>
      <w:proofErr w:type="spellEnd"/>
      <w:r w:rsidRPr="0016137A">
        <w:rPr>
          <w:rFonts w:cstheme="minorHAnsi"/>
          <w:color w:val="808080" w:themeColor="background1" w:themeShade="80"/>
          <w:sz w:val="20"/>
        </w:rPr>
        <w:t xml:space="preserve"> padaju na 73% vrijednosti investicija iz 2001. godine;</w:t>
      </w:r>
    </w:p>
    <w:p w:rsidR="00D80A89" w:rsidRPr="0016137A" w:rsidRDefault="00D80A89" w:rsidP="00E16746">
      <w:pPr>
        <w:pStyle w:val="Odlomakpopisa"/>
        <w:numPr>
          <w:ilvl w:val="0"/>
          <w:numId w:val="27"/>
        </w:numPr>
        <w:pBdr>
          <w:left w:val="single" w:sz="4" w:space="4" w:color="4F81BD" w:themeColor="accent1"/>
        </w:pBdr>
        <w:spacing w:afterLines="60" w:after="144" w:line="240" w:lineRule="auto"/>
        <w:jc w:val="both"/>
        <w:rPr>
          <w:rFonts w:cstheme="minorHAnsi"/>
          <w:color w:val="808080" w:themeColor="background1" w:themeShade="80"/>
          <w:sz w:val="20"/>
        </w:rPr>
      </w:pPr>
      <w:r w:rsidRPr="0016137A">
        <w:rPr>
          <w:rFonts w:cstheme="minorHAnsi"/>
          <w:color w:val="808080" w:themeColor="background1" w:themeShade="80"/>
          <w:sz w:val="20"/>
        </w:rPr>
        <w:t>kada su investicije bile na vrhuncu (u 2007.) najviše je ulagano u sektorima: opskrba električnom energijom vodom i plinom, građevinarstvo, trgovina na malo i veliko, te hoteli i restorani</w:t>
      </w:r>
    </w:p>
    <w:p w:rsidR="00D80A89" w:rsidRPr="0016137A" w:rsidRDefault="00D80A89" w:rsidP="00E16746">
      <w:pPr>
        <w:pBdr>
          <w:left w:val="single" w:sz="4" w:space="4" w:color="4F81BD" w:themeColor="accent1"/>
        </w:pBdr>
        <w:spacing w:afterLines="60" w:after="144" w:line="240" w:lineRule="auto"/>
        <w:ind w:left="360"/>
        <w:jc w:val="both"/>
        <w:rPr>
          <w:rFonts w:ascii="Corbel" w:hAnsi="Corbel" w:cstheme="minorHAnsi"/>
          <w:b/>
          <w:color w:val="7F7F7F" w:themeColor="text1" w:themeTint="80"/>
          <w:sz w:val="20"/>
        </w:rPr>
      </w:pPr>
      <w:r w:rsidRPr="0016137A">
        <w:rPr>
          <w:rFonts w:ascii="Corbel" w:hAnsi="Corbel" w:cstheme="minorHAnsi"/>
          <w:b/>
          <w:color w:val="7F7F7F" w:themeColor="text1" w:themeTint="80"/>
          <w:sz w:val="20"/>
        </w:rPr>
        <w:t>MALO I SREDNJE PODUZETNIŠTVO</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Zadar je prema prvih 5 pokazatelja u prosjeku osmi „poduzetnički“ grad u RH. Ispred njega od manjih gradova su Pula na šestom i Varaždin na sedmom mjestu; </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U razdoblju 2001. do 2008. godine broj poduzetnika u Zadru je rastao po prosječnoj godišnjoj stopi od 15,3% </w:t>
      </w:r>
      <w:r>
        <w:rPr>
          <w:rFonts w:cstheme="minorHAnsi"/>
          <w:color w:val="7F7F7F" w:themeColor="text1" w:themeTint="80"/>
          <w:sz w:val="20"/>
        </w:rPr>
        <w:t xml:space="preserve">što je </w:t>
      </w:r>
      <w:r w:rsidRPr="0016137A">
        <w:rPr>
          <w:rFonts w:cstheme="minorHAnsi"/>
          <w:color w:val="7F7F7F" w:themeColor="text1" w:themeTint="80"/>
          <w:sz w:val="20"/>
        </w:rPr>
        <w:t>više od RH prosjeka;</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Možemo kazati kako se poduzetništvo solidno razvijalo do recesije, kada se rast prekida i Zadar ne uspijeva </w:t>
      </w:r>
      <w:proofErr w:type="spellStart"/>
      <w:r w:rsidRPr="0016137A">
        <w:rPr>
          <w:rFonts w:cstheme="minorHAnsi"/>
          <w:color w:val="7F7F7F" w:themeColor="text1" w:themeTint="80"/>
          <w:sz w:val="20"/>
        </w:rPr>
        <w:t>maksimizirati</w:t>
      </w:r>
      <w:proofErr w:type="spellEnd"/>
      <w:r w:rsidRPr="0016137A">
        <w:rPr>
          <w:rFonts w:cstheme="minorHAnsi"/>
          <w:color w:val="7F7F7F" w:themeColor="text1" w:themeTint="80"/>
          <w:sz w:val="20"/>
        </w:rPr>
        <w:t xml:space="preserve"> kapacitete koje ima; </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Koncentracija poduzetnika na gradskom prostoru grada je </w:t>
      </w:r>
      <w:r w:rsidRPr="0016137A">
        <w:rPr>
          <w:rFonts w:cstheme="minorHAnsi"/>
          <w:b/>
          <w:color w:val="7F7F7F" w:themeColor="text1" w:themeTint="80"/>
          <w:sz w:val="20"/>
        </w:rPr>
        <w:t>9,5 poduzetnika po km</w:t>
      </w:r>
      <w:r w:rsidRPr="0016137A">
        <w:rPr>
          <w:rFonts w:cstheme="minorHAnsi"/>
          <w:b/>
          <w:color w:val="7F7F7F" w:themeColor="text1" w:themeTint="80"/>
          <w:sz w:val="20"/>
          <w:vertAlign w:val="superscript"/>
        </w:rPr>
        <w:t>2</w:t>
      </w:r>
      <w:r w:rsidRPr="0016137A">
        <w:rPr>
          <w:rFonts w:cstheme="minorHAnsi"/>
          <w:color w:val="7F7F7F" w:themeColor="text1" w:themeTint="80"/>
          <w:sz w:val="20"/>
        </w:rPr>
        <w:t>, dok je prosječno aktivno u RH ukupno 4 poduzetnika po km</w:t>
      </w:r>
      <w:r w:rsidRPr="0016137A">
        <w:rPr>
          <w:rFonts w:cstheme="minorHAnsi"/>
          <w:color w:val="7F7F7F" w:themeColor="text1" w:themeTint="80"/>
          <w:sz w:val="20"/>
          <w:vertAlign w:val="superscript"/>
        </w:rPr>
        <w:t>2</w:t>
      </w:r>
      <w:r w:rsidRPr="0016137A">
        <w:rPr>
          <w:rFonts w:cstheme="minorHAnsi"/>
          <w:color w:val="7F7F7F" w:themeColor="text1" w:themeTint="80"/>
          <w:sz w:val="20"/>
        </w:rPr>
        <w:t>;</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Analiza strukture djelatnosti poduzetnika pokazuje kao i prethodna analiza ukupnog gospodarstva da su glavne poduzetničke djelatnosti </w:t>
      </w:r>
      <w:r w:rsidRPr="0016137A">
        <w:rPr>
          <w:rFonts w:cstheme="minorHAnsi"/>
          <w:b/>
          <w:color w:val="7F7F7F" w:themeColor="text1" w:themeTint="80"/>
          <w:sz w:val="20"/>
        </w:rPr>
        <w:t>trgovina, prerađivačka industrija, građevina, prijevoz i skladištenje te pružanje hrane i smještaja</w:t>
      </w:r>
      <w:r w:rsidRPr="0016137A">
        <w:rPr>
          <w:rFonts w:cstheme="minorHAnsi"/>
          <w:color w:val="7F7F7F" w:themeColor="text1" w:themeTint="80"/>
          <w:sz w:val="20"/>
        </w:rPr>
        <w:t xml:space="preserve">; </w:t>
      </w:r>
      <w:r w:rsidRPr="0016137A">
        <w:rPr>
          <w:rFonts w:cstheme="minorHAnsi"/>
          <w:b/>
          <w:color w:val="7F7F7F" w:themeColor="text1" w:themeTint="80"/>
          <w:sz w:val="20"/>
        </w:rPr>
        <w:t>Promatrajući isključivo rezultate poduzetnika prerađivačka industrija je iza trgovine najvažnija poduzetnička grana u Zadru</w:t>
      </w:r>
      <w:r w:rsidRPr="0016137A">
        <w:rPr>
          <w:rFonts w:cstheme="minorHAnsi"/>
          <w:color w:val="7F7F7F" w:themeColor="text1" w:themeTint="80"/>
          <w:sz w:val="20"/>
        </w:rPr>
        <w:t>;</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Od 2005. godine na ovamo bilježi se </w:t>
      </w:r>
      <w:r w:rsidRPr="0016137A">
        <w:rPr>
          <w:rFonts w:cstheme="minorHAnsi"/>
          <w:b/>
          <w:color w:val="7F7F7F" w:themeColor="text1" w:themeTint="80"/>
          <w:sz w:val="20"/>
        </w:rPr>
        <w:t>rast iznosa duga</w:t>
      </w:r>
      <w:r>
        <w:rPr>
          <w:rFonts w:cstheme="minorHAnsi"/>
          <w:b/>
          <w:color w:val="7F7F7F" w:themeColor="text1" w:themeTint="80"/>
          <w:sz w:val="20"/>
        </w:rPr>
        <w:t xml:space="preserve"> poduzetnika</w:t>
      </w:r>
      <w:r w:rsidRPr="0016137A">
        <w:rPr>
          <w:rFonts w:cstheme="minorHAnsi"/>
          <w:b/>
          <w:color w:val="7F7F7F" w:themeColor="text1" w:themeTint="80"/>
          <w:sz w:val="20"/>
        </w:rPr>
        <w:t xml:space="preserve"> za 84,3% u Zadru (u RH za 94,7%) i rast broja zaposlenih u blokiranim poslovnim subjektima od 50%; </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U strukturi prema ročnosti </w:t>
      </w:r>
      <w:r w:rsidRPr="0016137A">
        <w:rPr>
          <w:rFonts w:cstheme="minorHAnsi"/>
          <w:b/>
          <w:color w:val="7F7F7F" w:themeColor="text1" w:themeTint="80"/>
          <w:sz w:val="20"/>
        </w:rPr>
        <w:t>daleko najviše je onih koji su dugotrajno blokirani, više od 360 dana</w:t>
      </w:r>
      <w:r w:rsidRPr="0016137A">
        <w:rPr>
          <w:rFonts w:cstheme="minorHAnsi"/>
          <w:color w:val="7F7F7F" w:themeColor="text1" w:themeTint="80"/>
          <w:sz w:val="20"/>
        </w:rPr>
        <w:t xml:space="preserve"> </w:t>
      </w:r>
      <w:r w:rsidRPr="0016137A">
        <w:rPr>
          <w:rFonts w:cstheme="minorHAnsi"/>
          <w:b/>
          <w:color w:val="7F7F7F" w:themeColor="text1" w:themeTint="80"/>
          <w:sz w:val="20"/>
        </w:rPr>
        <w:t>(više od 80%)</w:t>
      </w:r>
      <w:r w:rsidRPr="0016137A">
        <w:rPr>
          <w:rFonts w:cstheme="minorHAnsi"/>
          <w:color w:val="7F7F7F" w:themeColor="text1" w:themeTint="80"/>
          <w:sz w:val="20"/>
        </w:rPr>
        <w:t>, dakle prenose svoj dug iz godine u godinu;</w:t>
      </w:r>
    </w:p>
    <w:p w:rsidR="00D80A89" w:rsidRPr="0016137A" w:rsidRDefault="00D80A89" w:rsidP="00E16746">
      <w:pPr>
        <w:pStyle w:val="Odlomakpopisa"/>
        <w:numPr>
          <w:ilvl w:val="0"/>
          <w:numId w:val="28"/>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Najveći iznos blokade u RH odnosi se na poslovne subjekte iz djelatnosti </w:t>
      </w:r>
      <w:r w:rsidRPr="0016137A">
        <w:rPr>
          <w:rFonts w:cstheme="minorHAnsi"/>
          <w:b/>
          <w:bCs/>
          <w:color w:val="7F7F7F" w:themeColor="text1" w:themeTint="80"/>
          <w:sz w:val="20"/>
        </w:rPr>
        <w:t>TRGOVINE</w:t>
      </w:r>
      <w:r w:rsidRPr="0016137A">
        <w:rPr>
          <w:rFonts w:cstheme="minorHAnsi"/>
          <w:color w:val="7F7F7F" w:themeColor="text1" w:themeTint="80"/>
          <w:sz w:val="20"/>
        </w:rPr>
        <w:t xml:space="preserve">, </w:t>
      </w:r>
      <w:r w:rsidRPr="0016137A">
        <w:rPr>
          <w:rFonts w:cstheme="minorHAnsi"/>
          <w:b/>
          <w:bCs/>
          <w:color w:val="7F7F7F" w:themeColor="text1" w:themeTint="80"/>
          <w:sz w:val="20"/>
        </w:rPr>
        <w:t xml:space="preserve">ukupno 12,19 milijardi kn </w:t>
      </w:r>
      <w:r>
        <w:rPr>
          <w:rFonts w:cstheme="minorHAnsi"/>
          <w:color w:val="7F7F7F" w:themeColor="text1" w:themeTint="80"/>
          <w:sz w:val="20"/>
        </w:rPr>
        <w:t xml:space="preserve">(27,33%), zatim slijede </w:t>
      </w:r>
      <w:r w:rsidRPr="0016137A">
        <w:rPr>
          <w:rFonts w:cstheme="minorHAnsi"/>
          <w:color w:val="7F7F7F" w:themeColor="text1" w:themeTint="80"/>
          <w:sz w:val="20"/>
        </w:rPr>
        <w:t xml:space="preserve">poslovni subjekti iz djelatnosti GRAĐEVINARSTVA i prerađivačke djelatnosti; </w:t>
      </w:r>
    </w:p>
    <w:p w:rsidR="00D80A89" w:rsidRPr="0016137A" w:rsidRDefault="00D80A89" w:rsidP="00E16746">
      <w:pPr>
        <w:pBdr>
          <w:left w:val="single" w:sz="4" w:space="4" w:color="4F81BD" w:themeColor="accent1"/>
        </w:pBdr>
        <w:spacing w:afterLines="60" w:after="144" w:line="240" w:lineRule="auto"/>
        <w:ind w:left="360"/>
        <w:jc w:val="both"/>
        <w:rPr>
          <w:rFonts w:ascii="Corbel" w:hAnsi="Corbel" w:cstheme="minorHAnsi"/>
          <w:b/>
          <w:color w:val="7F7F7F" w:themeColor="text1" w:themeTint="80"/>
          <w:sz w:val="20"/>
        </w:rPr>
      </w:pPr>
      <w:r w:rsidRPr="0016137A">
        <w:rPr>
          <w:rFonts w:ascii="Corbel" w:hAnsi="Corbel" w:cstheme="minorHAnsi"/>
          <w:b/>
          <w:color w:val="7F7F7F" w:themeColor="text1" w:themeTint="80"/>
          <w:sz w:val="20"/>
        </w:rPr>
        <w:t>OBRTNIŠTVO</w:t>
      </w:r>
    </w:p>
    <w:p w:rsidR="00D80A89" w:rsidRPr="0016137A" w:rsidRDefault="00D80A89" w:rsidP="00E16746">
      <w:pPr>
        <w:pStyle w:val="Odlomakpopisa"/>
        <w:numPr>
          <w:ilvl w:val="0"/>
          <w:numId w:val="29"/>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Oko 43% svih obrta u županiji smješteno je u gradu Zadru; </w:t>
      </w:r>
    </w:p>
    <w:p w:rsidR="00D80A89" w:rsidRPr="0016137A" w:rsidRDefault="00D80A89" w:rsidP="00E16746">
      <w:pPr>
        <w:pStyle w:val="Odlomakpopisa"/>
        <w:numPr>
          <w:ilvl w:val="0"/>
          <w:numId w:val="29"/>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Prema broju obrta Zadarska županija je među prvim županijama u RH, iza Splitsko dalmatinske, Primorsko goranske, Istarske i Zagrebačke županije, te ispred županija poput Osječko baranjske i Varaždinske;</w:t>
      </w:r>
    </w:p>
    <w:p w:rsidR="00D80A89" w:rsidRDefault="00D80A89" w:rsidP="00E16746">
      <w:pPr>
        <w:pStyle w:val="Odlomakpopisa"/>
        <w:numPr>
          <w:ilvl w:val="0"/>
          <w:numId w:val="29"/>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Premda broj obrta kontinuirano opada, u Zadarskoj županiji još uvijek prevladavaju obrti naspram trgovačkih društava. </w:t>
      </w:r>
    </w:p>
    <w:p w:rsidR="00D80A89" w:rsidRPr="0016137A" w:rsidRDefault="00D80A89" w:rsidP="00E16746">
      <w:pPr>
        <w:pStyle w:val="Odlomakpopisa"/>
        <w:numPr>
          <w:ilvl w:val="0"/>
          <w:numId w:val="29"/>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Broj zaposlenih u obrtu je kontinuirano rastao do 2008. godine, kada slijedi značajno opadanje zaposlenih obrtnika; </w:t>
      </w:r>
    </w:p>
    <w:p w:rsidR="00D80A89" w:rsidRPr="0016137A" w:rsidRDefault="00D80A89" w:rsidP="00E16746">
      <w:pPr>
        <w:pStyle w:val="Odlomakpopisa"/>
        <w:numPr>
          <w:ilvl w:val="0"/>
          <w:numId w:val="29"/>
        </w:numPr>
        <w:pBdr>
          <w:left w:val="single" w:sz="4" w:space="4" w:color="4F81BD" w:themeColor="accent1"/>
        </w:pBdr>
        <w:spacing w:afterLines="60" w:after="144" w:line="240" w:lineRule="auto"/>
        <w:jc w:val="both"/>
        <w:rPr>
          <w:rFonts w:cstheme="minorHAnsi"/>
          <w:color w:val="7F7F7F" w:themeColor="text1" w:themeTint="80"/>
          <w:sz w:val="20"/>
        </w:rPr>
      </w:pPr>
      <w:r w:rsidRPr="0016137A">
        <w:rPr>
          <w:rFonts w:cstheme="minorHAnsi"/>
          <w:color w:val="7F7F7F" w:themeColor="text1" w:themeTint="80"/>
          <w:sz w:val="20"/>
        </w:rPr>
        <w:t xml:space="preserve">U Zadarskoj županiji prevladavaju obrti koji se bave djelatnostima: uslužnog zanatstva (građevina, izdavaštvo, tisak, </w:t>
      </w:r>
      <w:proofErr w:type="spellStart"/>
      <w:r w:rsidRPr="0016137A">
        <w:rPr>
          <w:rFonts w:cstheme="minorHAnsi"/>
          <w:color w:val="7F7F7F" w:themeColor="text1" w:themeTint="80"/>
          <w:sz w:val="20"/>
        </w:rPr>
        <w:t>autostruka</w:t>
      </w:r>
      <w:proofErr w:type="spellEnd"/>
      <w:r w:rsidRPr="0016137A">
        <w:rPr>
          <w:rFonts w:cstheme="minorHAnsi"/>
          <w:color w:val="7F7F7F" w:themeColor="text1" w:themeTint="80"/>
          <w:sz w:val="20"/>
        </w:rPr>
        <w:t>, čišćenje itd.), ugostiteljstva i turizma, te trgovine.</w:t>
      </w:r>
    </w:p>
    <w:p w:rsidR="00AA3CB0" w:rsidRDefault="00AA3CB0" w:rsidP="003D0416">
      <w:pPr>
        <w:jc w:val="both"/>
        <w:rPr>
          <w:rFonts w:ascii="Times New Roman" w:hAnsi="Times New Roman" w:cs="Arial"/>
          <w:b/>
        </w:rPr>
      </w:pPr>
    </w:p>
    <w:p w:rsidR="00D80A89" w:rsidRDefault="00D80A89" w:rsidP="003D0416">
      <w:pPr>
        <w:jc w:val="both"/>
        <w:rPr>
          <w:rFonts w:ascii="Times New Roman" w:hAnsi="Times New Roman" w:cs="Arial"/>
          <w:b/>
        </w:rPr>
      </w:pPr>
    </w:p>
    <w:p w:rsidR="00D80A89" w:rsidRDefault="00D80A89" w:rsidP="003D0416">
      <w:pPr>
        <w:jc w:val="both"/>
        <w:rPr>
          <w:rFonts w:ascii="Times New Roman" w:hAnsi="Times New Roman" w:cs="Arial"/>
          <w:b/>
        </w:rPr>
      </w:pPr>
    </w:p>
    <w:p w:rsidR="00C04274" w:rsidRDefault="00C04274" w:rsidP="003D0416">
      <w:pPr>
        <w:jc w:val="both"/>
        <w:rPr>
          <w:rFonts w:ascii="Times New Roman" w:hAnsi="Times New Roman" w:cs="Arial"/>
          <w:b/>
          <w:sz w:val="28"/>
        </w:rPr>
      </w:pPr>
    </w:p>
    <w:p w:rsidR="000A3C1B" w:rsidRDefault="000A3C1B" w:rsidP="003D0416">
      <w:pPr>
        <w:jc w:val="both"/>
        <w:rPr>
          <w:rFonts w:ascii="Times New Roman" w:hAnsi="Times New Roman" w:cs="Arial"/>
          <w:b/>
          <w:sz w:val="28"/>
        </w:rPr>
      </w:pPr>
    </w:p>
    <w:p w:rsidR="009F4C9F" w:rsidRDefault="009F4C9F" w:rsidP="003D0416">
      <w:pPr>
        <w:jc w:val="both"/>
        <w:rPr>
          <w:rFonts w:ascii="Times New Roman" w:hAnsi="Times New Roman" w:cs="Arial"/>
          <w:b/>
          <w:sz w:val="28"/>
        </w:rPr>
      </w:pPr>
    </w:p>
    <w:p w:rsidR="009F4C9F" w:rsidRDefault="009F4C9F" w:rsidP="003D0416">
      <w:pPr>
        <w:jc w:val="both"/>
        <w:rPr>
          <w:rFonts w:ascii="Times New Roman" w:hAnsi="Times New Roman" w:cs="Arial"/>
          <w:b/>
          <w:sz w:val="28"/>
        </w:rPr>
      </w:pPr>
    </w:p>
    <w:p w:rsidR="009F4C9F" w:rsidRPr="00FC0732" w:rsidRDefault="009F4C9F" w:rsidP="009F4C9F">
      <w:pPr>
        <w:rPr>
          <w:b/>
          <w:sz w:val="24"/>
        </w:rPr>
      </w:pPr>
      <w:r w:rsidRPr="00FC0732">
        <w:rPr>
          <w:b/>
          <w:sz w:val="24"/>
        </w:rPr>
        <w:lastRenderedPageBreak/>
        <w:t>KAZALO</w:t>
      </w:r>
    </w:p>
    <w:tbl>
      <w:tblPr>
        <w:tblW w:w="9087" w:type="dxa"/>
        <w:tblInd w:w="93" w:type="dxa"/>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443"/>
        <w:gridCol w:w="8644"/>
      </w:tblGrid>
      <w:tr w:rsidR="009F4C9F" w:rsidRPr="003444B1" w:rsidTr="002D7CB7">
        <w:trPr>
          <w:trHeight w:val="104"/>
        </w:trPr>
        <w:tc>
          <w:tcPr>
            <w:tcW w:w="443" w:type="dxa"/>
            <w:shd w:val="clear" w:color="auto" w:fill="D9D9D9" w:themeFill="background1" w:themeFillShade="D9"/>
            <w:noWrap/>
            <w:vAlign w:val="bottom"/>
          </w:tcPr>
          <w:p w:rsidR="009F4C9F" w:rsidRPr="003444B1" w:rsidRDefault="009F4C9F" w:rsidP="002D7CB7">
            <w:pPr>
              <w:spacing w:after="0" w:line="240" w:lineRule="auto"/>
              <w:rPr>
                <w:rFonts w:ascii="Calibri" w:eastAsia="Times New Roman" w:hAnsi="Calibri" w:cs="Calibri"/>
                <w:color w:val="000000"/>
                <w:sz w:val="16"/>
                <w:lang w:eastAsia="hr-HR"/>
              </w:rPr>
            </w:pPr>
          </w:p>
        </w:tc>
        <w:tc>
          <w:tcPr>
            <w:tcW w:w="8644" w:type="dxa"/>
            <w:shd w:val="clear" w:color="auto" w:fill="D9D9D9" w:themeFill="background1" w:themeFillShade="D9"/>
            <w:vAlign w:val="bottom"/>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b/>
                <w:color w:val="000000"/>
                <w:sz w:val="16"/>
                <w:lang w:eastAsia="hr-HR"/>
              </w:rPr>
              <w:t>KAZALO</w:t>
            </w:r>
            <w:r>
              <w:rPr>
                <w:rFonts w:ascii="Calibri" w:eastAsia="Times New Roman" w:hAnsi="Calibri" w:cs="Calibri"/>
                <w:b/>
                <w:color w:val="000000"/>
                <w:sz w:val="16"/>
                <w:lang w:eastAsia="hr-HR"/>
              </w:rPr>
              <w:t>, NKD 2007</w:t>
            </w:r>
            <w:r w:rsidRPr="003444B1">
              <w:rPr>
                <w:rFonts w:ascii="Calibri" w:eastAsia="Times New Roman" w:hAnsi="Calibri" w:cs="Calibri"/>
                <w:color w:val="000000"/>
                <w:sz w:val="16"/>
                <w:lang w:eastAsia="hr-HR"/>
              </w:rPr>
              <w:t>:</w:t>
            </w:r>
          </w:p>
        </w:tc>
      </w:tr>
      <w:tr w:rsidR="009F4C9F" w:rsidRPr="003444B1" w:rsidTr="002D7CB7">
        <w:trPr>
          <w:trHeight w:val="73"/>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A</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Poljoprivreda, šumarstvo i ribarstvo</w:t>
            </w:r>
          </w:p>
        </w:tc>
      </w:tr>
      <w:tr w:rsidR="009F4C9F" w:rsidRPr="003444B1" w:rsidTr="002D7CB7">
        <w:trPr>
          <w:trHeight w:val="12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B</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Rudarstvo i vađenje</w:t>
            </w:r>
          </w:p>
        </w:tc>
      </w:tr>
      <w:tr w:rsidR="009F4C9F" w:rsidRPr="003444B1" w:rsidTr="002D7CB7">
        <w:trPr>
          <w:trHeight w:val="12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C</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Prerađivačka industrija</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D</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szCs w:val="18"/>
                <w:lang w:eastAsia="hr-HR"/>
              </w:rPr>
            </w:pPr>
            <w:r w:rsidRPr="003444B1">
              <w:rPr>
                <w:rFonts w:ascii="Calibri" w:eastAsia="Times New Roman" w:hAnsi="Calibri" w:cs="Calibri"/>
                <w:color w:val="000000"/>
                <w:sz w:val="16"/>
                <w:szCs w:val="18"/>
                <w:lang w:eastAsia="hr-HR"/>
              </w:rPr>
              <w:t>Opskrba električnom energijom, plinom, parom i klimatizacija</w:t>
            </w:r>
          </w:p>
        </w:tc>
      </w:tr>
      <w:tr w:rsidR="009F4C9F" w:rsidRPr="003444B1" w:rsidTr="002D7CB7">
        <w:trPr>
          <w:trHeight w:val="19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E</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Opskrba vodom; uklanjanje otpadnih voda, gospodarenje otpadom te</w:t>
            </w:r>
            <w:r w:rsidRPr="003444B1">
              <w:rPr>
                <w:rFonts w:ascii="Calibri" w:eastAsia="Times New Roman" w:hAnsi="Calibri" w:cs="Calibri"/>
                <w:color w:val="000000"/>
                <w:sz w:val="16"/>
                <w:lang w:eastAsia="hr-HR"/>
              </w:rPr>
              <w:br/>
              <w:t>djelatnosti sanacije okoliša</w:t>
            </w:r>
          </w:p>
        </w:tc>
      </w:tr>
      <w:tr w:rsidR="009F4C9F" w:rsidRPr="003444B1" w:rsidTr="002D7CB7">
        <w:trPr>
          <w:trHeight w:val="12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F</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Građevinarstvo</w:t>
            </w:r>
          </w:p>
        </w:tc>
      </w:tr>
      <w:tr w:rsidR="009F4C9F" w:rsidRPr="003444B1" w:rsidTr="002D7CB7">
        <w:trPr>
          <w:trHeight w:val="15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G</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Trgovina na veliko i na malo; popravak motornih vozila i motocikala</w:t>
            </w:r>
          </w:p>
        </w:tc>
      </w:tr>
      <w:tr w:rsidR="009F4C9F" w:rsidRPr="003444B1" w:rsidTr="002D7CB7">
        <w:trPr>
          <w:trHeight w:val="12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H</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Prijevoz i skladištenje</w:t>
            </w:r>
          </w:p>
        </w:tc>
      </w:tr>
      <w:tr w:rsidR="009F4C9F" w:rsidRPr="003444B1" w:rsidTr="002D7CB7">
        <w:trPr>
          <w:trHeight w:val="171"/>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I</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Djelatnosti pružanja smještaja te pripreme i usluživanja hrane</w:t>
            </w:r>
          </w:p>
        </w:tc>
      </w:tr>
      <w:tr w:rsidR="009F4C9F" w:rsidRPr="003444B1" w:rsidTr="002D7CB7">
        <w:trPr>
          <w:trHeight w:val="12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J</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Informacije i komunikacije</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K</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Financijske djelatnosti i djelatnosti osiguranja</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L</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Poslovanje nekretninama</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M</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Stručne, znanstvene i tehničke djelatnosti</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N</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Administrativne i pomoćne uslužne djelatnosti</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O</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Javna uprava i obrana; obvezno socijalno osiguranje</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P</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Obrazovanje</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Q</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Djelatnosti zdravstvene zaštite i socijalne skrbi</w:t>
            </w:r>
          </w:p>
        </w:tc>
      </w:tr>
      <w:tr w:rsidR="009F4C9F" w:rsidRPr="003444B1" w:rsidTr="002D7CB7">
        <w:trPr>
          <w:trHeight w:val="70"/>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R</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Umjetnost, zabava i rekreacija</w:t>
            </w:r>
          </w:p>
        </w:tc>
      </w:tr>
      <w:tr w:rsidR="009F4C9F" w:rsidRPr="003444B1" w:rsidTr="002D7CB7">
        <w:trPr>
          <w:trHeight w:val="129"/>
        </w:trPr>
        <w:tc>
          <w:tcPr>
            <w:tcW w:w="443" w:type="dxa"/>
            <w:shd w:val="clear" w:color="auto" w:fill="D9D9D9" w:themeFill="background1" w:themeFillShade="D9"/>
            <w:noWrap/>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S</w:t>
            </w:r>
          </w:p>
        </w:tc>
        <w:tc>
          <w:tcPr>
            <w:tcW w:w="8644" w:type="dxa"/>
            <w:shd w:val="clear" w:color="auto" w:fill="D9D9D9" w:themeFill="background1" w:themeFillShade="D9"/>
            <w:vAlign w:val="bottom"/>
            <w:hideMark/>
          </w:tcPr>
          <w:p w:rsidR="009F4C9F" w:rsidRPr="003444B1"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color w:val="000000"/>
                <w:sz w:val="16"/>
                <w:lang w:eastAsia="hr-HR"/>
              </w:rPr>
              <w:t>Ostale uslužne djelatnosti</w:t>
            </w:r>
          </w:p>
        </w:tc>
      </w:tr>
    </w:tbl>
    <w:p w:rsidR="009F4C9F" w:rsidRDefault="009F4C9F" w:rsidP="009F4C9F">
      <w:pPr>
        <w:rPr>
          <w:highlight w:val="yellow"/>
        </w:rPr>
      </w:pPr>
    </w:p>
    <w:tbl>
      <w:tblPr>
        <w:tblW w:w="9072" w:type="dxa"/>
        <w:tblInd w:w="108" w:type="dxa"/>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426"/>
        <w:gridCol w:w="8646"/>
      </w:tblGrid>
      <w:tr w:rsidR="009F4C9F" w:rsidRPr="00FC0732" w:rsidTr="002D7CB7">
        <w:trPr>
          <w:trHeight w:val="82"/>
        </w:trPr>
        <w:tc>
          <w:tcPr>
            <w:tcW w:w="426" w:type="dxa"/>
            <w:shd w:val="clear" w:color="auto" w:fill="D9D9D9" w:themeFill="background1" w:themeFillShade="D9"/>
            <w:noWrap/>
            <w:vAlign w:val="bottom"/>
          </w:tcPr>
          <w:p w:rsidR="009F4C9F" w:rsidRPr="00FC0732" w:rsidRDefault="009F4C9F" w:rsidP="002D7CB7">
            <w:pPr>
              <w:spacing w:after="0" w:line="240" w:lineRule="auto"/>
              <w:rPr>
                <w:rFonts w:ascii="Calibri" w:eastAsia="Times New Roman" w:hAnsi="Calibri" w:cs="Calibri"/>
                <w:color w:val="000000"/>
                <w:sz w:val="16"/>
                <w:lang w:eastAsia="hr-HR"/>
              </w:rPr>
            </w:pPr>
          </w:p>
        </w:tc>
        <w:tc>
          <w:tcPr>
            <w:tcW w:w="8646" w:type="dxa"/>
            <w:shd w:val="clear" w:color="auto" w:fill="D9D9D9" w:themeFill="background1" w:themeFillShade="D9"/>
            <w:vAlign w:val="bottom"/>
          </w:tcPr>
          <w:p w:rsidR="009F4C9F" w:rsidRPr="00FC0732" w:rsidRDefault="009F4C9F" w:rsidP="002D7CB7">
            <w:pPr>
              <w:spacing w:after="0" w:line="240" w:lineRule="auto"/>
              <w:rPr>
                <w:rFonts w:ascii="Calibri" w:eastAsia="Times New Roman" w:hAnsi="Calibri" w:cs="Calibri"/>
                <w:color w:val="000000"/>
                <w:sz w:val="16"/>
                <w:lang w:eastAsia="hr-HR"/>
              </w:rPr>
            </w:pPr>
            <w:r w:rsidRPr="003444B1">
              <w:rPr>
                <w:rFonts w:ascii="Calibri" w:eastAsia="Times New Roman" w:hAnsi="Calibri" w:cs="Calibri"/>
                <w:b/>
                <w:color w:val="000000"/>
                <w:sz w:val="16"/>
                <w:lang w:eastAsia="hr-HR"/>
              </w:rPr>
              <w:t>KAZALO</w:t>
            </w:r>
            <w:r>
              <w:rPr>
                <w:rFonts w:ascii="Calibri" w:eastAsia="Times New Roman" w:hAnsi="Calibri" w:cs="Calibri"/>
                <w:b/>
                <w:color w:val="000000"/>
                <w:sz w:val="16"/>
                <w:lang w:eastAsia="hr-HR"/>
              </w:rPr>
              <w:t>, NKD 2002</w:t>
            </w:r>
          </w:p>
        </w:tc>
      </w:tr>
      <w:tr w:rsidR="009F4C9F" w:rsidRPr="00FC0732" w:rsidTr="002D7CB7">
        <w:trPr>
          <w:trHeight w:val="82"/>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A</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 xml:space="preserve">Poljoprivreda, lov i </w:t>
            </w:r>
            <w:proofErr w:type="spellStart"/>
            <w:r w:rsidRPr="00FC0732">
              <w:rPr>
                <w:rFonts w:ascii="Calibri" w:eastAsia="Times New Roman" w:hAnsi="Calibri" w:cs="Calibri"/>
                <w:color w:val="000000"/>
                <w:sz w:val="16"/>
                <w:lang w:eastAsia="hr-HR"/>
              </w:rPr>
              <w:t>šumarastvo</w:t>
            </w:r>
            <w:proofErr w:type="spellEnd"/>
          </w:p>
        </w:tc>
      </w:tr>
      <w:tr w:rsidR="009F4C9F" w:rsidRPr="00FC0732" w:rsidTr="002D7CB7">
        <w:trPr>
          <w:trHeight w:val="210"/>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B</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Ribarstvo</w:t>
            </w:r>
          </w:p>
        </w:tc>
      </w:tr>
      <w:tr w:rsidR="009F4C9F" w:rsidRPr="00FC0732" w:rsidTr="002D7CB7">
        <w:trPr>
          <w:trHeight w:val="210"/>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C</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Rudarstvo i vađenje</w:t>
            </w:r>
          </w:p>
        </w:tc>
      </w:tr>
      <w:tr w:rsidR="009F4C9F" w:rsidRPr="00FC0732" w:rsidTr="002D7CB7">
        <w:trPr>
          <w:trHeight w:val="119"/>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D</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Prerađivačka industrija</w:t>
            </w:r>
          </w:p>
        </w:tc>
      </w:tr>
      <w:tr w:rsidR="009F4C9F" w:rsidRPr="00FC0732" w:rsidTr="002D7CB7">
        <w:trPr>
          <w:trHeight w:val="145"/>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E</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 xml:space="preserve">Opskrba </w:t>
            </w:r>
            <w:proofErr w:type="spellStart"/>
            <w:r w:rsidRPr="00FC0732">
              <w:rPr>
                <w:rFonts w:ascii="Calibri" w:eastAsia="Times New Roman" w:hAnsi="Calibri" w:cs="Calibri"/>
                <w:color w:val="000000"/>
                <w:sz w:val="16"/>
                <w:lang w:eastAsia="hr-HR"/>
              </w:rPr>
              <w:t>elktričnom</w:t>
            </w:r>
            <w:proofErr w:type="spellEnd"/>
            <w:r w:rsidRPr="00FC0732">
              <w:rPr>
                <w:rFonts w:ascii="Calibri" w:eastAsia="Times New Roman" w:hAnsi="Calibri" w:cs="Calibri"/>
                <w:color w:val="000000"/>
                <w:sz w:val="16"/>
                <w:lang w:eastAsia="hr-HR"/>
              </w:rPr>
              <w:t xml:space="preserve"> energijom, plinom i vodom</w:t>
            </w:r>
          </w:p>
        </w:tc>
      </w:tr>
      <w:tr w:rsidR="009F4C9F" w:rsidRPr="00FC0732" w:rsidTr="002D7CB7">
        <w:trPr>
          <w:trHeight w:val="210"/>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F</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Građevinarstvo</w:t>
            </w:r>
          </w:p>
        </w:tc>
      </w:tr>
      <w:tr w:rsidR="009F4C9F" w:rsidRPr="00FC0732" w:rsidTr="002D7CB7">
        <w:trPr>
          <w:trHeight w:val="106"/>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G</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Trgovina na veliko i malo; popravak motornih vozila i motocikla te predmeta za osobnu…</w:t>
            </w:r>
          </w:p>
        </w:tc>
      </w:tr>
      <w:tr w:rsidR="009F4C9F" w:rsidRPr="00FC0732" w:rsidTr="002D7CB7">
        <w:trPr>
          <w:trHeight w:val="210"/>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H</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Hoteli i restorani</w:t>
            </w:r>
          </w:p>
        </w:tc>
      </w:tr>
      <w:tr w:rsidR="009F4C9F" w:rsidRPr="00FC0732" w:rsidTr="002D7CB7">
        <w:trPr>
          <w:trHeight w:val="78"/>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I</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Prijevoz, skladištenje i veze</w:t>
            </w:r>
          </w:p>
        </w:tc>
      </w:tr>
      <w:tr w:rsidR="009F4C9F" w:rsidRPr="00FC0732" w:rsidTr="002D7CB7">
        <w:trPr>
          <w:trHeight w:val="210"/>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J</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Financijsko posredovanje</w:t>
            </w:r>
          </w:p>
        </w:tc>
      </w:tr>
      <w:tr w:rsidR="009F4C9F" w:rsidRPr="00FC0732" w:rsidTr="002D7CB7">
        <w:trPr>
          <w:trHeight w:val="70"/>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K</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Poslovanje nekretninama, iznajmljivanje i poslovne usluge</w:t>
            </w:r>
          </w:p>
        </w:tc>
      </w:tr>
      <w:tr w:rsidR="009F4C9F" w:rsidRPr="00FC0732" w:rsidTr="002D7CB7">
        <w:trPr>
          <w:trHeight w:val="198"/>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L</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Javna uprava i obrana, obavezno socijalno osiguranje</w:t>
            </w:r>
          </w:p>
        </w:tc>
      </w:tr>
      <w:tr w:rsidR="009F4C9F" w:rsidRPr="00FC0732" w:rsidTr="002D7CB7">
        <w:trPr>
          <w:trHeight w:val="106"/>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M</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Obrazovanje</w:t>
            </w:r>
          </w:p>
        </w:tc>
      </w:tr>
      <w:tr w:rsidR="009F4C9F" w:rsidRPr="00FC0732" w:rsidTr="002D7CB7">
        <w:trPr>
          <w:trHeight w:val="106"/>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N</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Zdravstvena zaštita i socijalna skrb</w:t>
            </w:r>
          </w:p>
        </w:tc>
      </w:tr>
      <w:tr w:rsidR="009F4C9F" w:rsidRPr="00FC0732" w:rsidTr="002D7CB7">
        <w:trPr>
          <w:trHeight w:val="97"/>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O</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Ostale društvene, socijalne i osobne uslužne djelatnosti</w:t>
            </w:r>
          </w:p>
        </w:tc>
      </w:tr>
      <w:tr w:rsidR="009F4C9F" w:rsidRPr="00FC0732" w:rsidTr="002D7CB7">
        <w:trPr>
          <w:trHeight w:val="106"/>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P</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Privatna kućanstva sa zaposlenim osobljem</w:t>
            </w:r>
          </w:p>
        </w:tc>
      </w:tr>
      <w:tr w:rsidR="009F4C9F" w:rsidRPr="00FC0732" w:rsidTr="002D7CB7">
        <w:trPr>
          <w:trHeight w:val="106"/>
        </w:trPr>
        <w:tc>
          <w:tcPr>
            <w:tcW w:w="426" w:type="dxa"/>
            <w:shd w:val="clear" w:color="auto" w:fill="D9D9D9" w:themeFill="background1" w:themeFillShade="D9"/>
            <w:noWrap/>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r w:rsidRPr="00FC0732">
              <w:rPr>
                <w:rFonts w:ascii="Calibri" w:eastAsia="Times New Roman" w:hAnsi="Calibri" w:cs="Calibri"/>
                <w:color w:val="000000"/>
                <w:sz w:val="16"/>
                <w:lang w:eastAsia="hr-HR"/>
              </w:rPr>
              <w:t>Q</w:t>
            </w:r>
          </w:p>
        </w:tc>
        <w:tc>
          <w:tcPr>
            <w:tcW w:w="8646" w:type="dxa"/>
            <w:shd w:val="clear" w:color="auto" w:fill="D9D9D9" w:themeFill="background1" w:themeFillShade="D9"/>
            <w:vAlign w:val="bottom"/>
            <w:hideMark/>
          </w:tcPr>
          <w:p w:rsidR="009F4C9F" w:rsidRPr="00FC0732" w:rsidRDefault="009F4C9F" w:rsidP="002D7CB7">
            <w:pPr>
              <w:spacing w:after="0" w:line="240" w:lineRule="auto"/>
              <w:rPr>
                <w:rFonts w:ascii="Calibri" w:eastAsia="Times New Roman" w:hAnsi="Calibri" w:cs="Calibri"/>
                <w:color w:val="000000"/>
                <w:sz w:val="16"/>
                <w:lang w:eastAsia="hr-HR"/>
              </w:rPr>
            </w:pPr>
            <w:proofErr w:type="spellStart"/>
            <w:r w:rsidRPr="00FC0732">
              <w:rPr>
                <w:rFonts w:ascii="Calibri" w:eastAsia="Times New Roman" w:hAnsi="Calibri" w:cs="Calibri"/>
                <w:color w:val="000000"/>
                <w:sz w:val="16"/>
                <w:lang w:eastAsia="hr-HR"/>
              </w:rPr>
              <w:t>Izvanteritorijalne</w:t>
            </w:r>
            <w:proofErr w:type="spellEnd"/>
            <w:r w:rsidRPr="00FC0732">
              <w:rPr>
                <w:rFonts w:ascii="Calibri" w:eastAsia="Times New Roman" w:hAnsi="Calibri" w:cs="Calibri"/>
                <w:color w:val="000000"/>
                <w:sz w:val="16"/>
                <w:lang w:eastAsia="hr-HR"/>
              </w:rPr>
              <w:t xml:space="preserve"> organizacije i tijela</w:t>
            </w:r>
          </w:p>
        </w:tc>
      </w:tr>
    </w:tbl>
    <w:p w:rsidR="009F4C9F" w:rsidRDefault="009F4C9F" w:rsidP="009F4C9F">
      <w:pPr>
        <w:rPr>
          <w:highlight w:val="yellow"/>
        </w:rPr>
      </w:pPr>
    </w:p>
    <w:p w:rsidR="009F4C9F" w:rsidRDefault="009F4C9F" w:rsidP="003D0416">
      <w:pPr>
        <w:jc w:val="both"/>
        <w:rPr>
          <w:rFonts w:ascii="Times New Roman" w:hAnsi="Times New Roman" w:cs="Arial"/>
          <w:b/>
          <w:sz w:val="28"/>
        </w:rPr>
      </w:pPr>
    </w:p>
    <w:p w:rsidR="009F4C9F" w:rsidRDefault="009F4C9F" w:rsidP="003D0416">
      <w:pPr>
        <w:jc w:val="both"/>
        <w:rPr>
          <w:rFonts w:ascii="Times New Roman" w:hAnsi="Times New Roman" w:cs="Arial"/>
          <w:b/>
          <w:sz w:val="28"/>
        </w:rPr>
      </w:pPr>
    </w:p>
    <w:p w:rsidR="009F4C9F" w:rsidRDefault="009F4C9F" w:rsidP="003D0416">
      <w:pPr>
        <w:jc w:val="both"/>
        <w:rPr>
          <w:rFonts w:ascii="Times New Roman" w:hAnsi="Times New Roman" w:cs="Arial"/>
          <w:b/>
          <w:sz w:val="28"/>
        </w:rPr>
      </w:pPr>
    </w:p>
    <w:p w:rsidR="009F4C9F" w:rsidRDefault="009F4C9F" w:rsidP="003D0416">
      <w:pPr>
        <w:jc w:val="both"/>
        <w:rPr>
          <w:rFonts w:ascii="Times New Roman" w:hAnsi="Times New Roman" w:cs="Arial"/>
          <w:b/>
          <w:sz w:val="28"/>
        </w:rPr>
      </w:pPr>
    </w:p>
    <w:p w:rsidR="00902E51" w:rsidRDefault="00902E51" w:rsidP="003D0416">
      <w:pPr>
        <w:jc w:val="both"/>
        <w:rPr>
          <w:rFonts w:ascii="Times New Roman" w:hAnsi="Times New Roman" w:cs="Arial"/>
          <w:b/>
          <w:sz w:val="28"/>
        </w:rPr>
      </w:pPr>
    </w:p>
    <w:p w:rsidR="00902E51" w:rsidRDefault="00902E51" w:rsidP="003D0416">
      <w:pPr>
        <w:jc w:val="both"/>
        <w:rPr>
          <w:rFonts w:ascii="Times New Roman" w:hAnsi="Times New Roman" w:cs="Arial"/>
          <w:b/>
          <w:sz w:val="28"/>
        </w:rPr>
      </w:pPr>
    </w:p>
    <w:p w:rsidR="00902E51" w:rsidRDefault="00902E51" w:rsidP="003D0416">
      <w:pPr>
        <w:jc w:val="both"/>
        <w:rPr>
          <w:rFonts w:ascii="Times New Roman" w:hAnsi="Times New Roman" w:cs="Arial"/>
          <w:b/>
          <w:sz w:val="28"/>
        </w:rPr>
      </w:pPr>
    </w:p>
    <w:p w:rsidR="00902E51" w:rsidRDefault="00902E51" w:rsidP="003D0416">
      <w:pPr>
        <w:jc w:val="both"/>
        <w:rPr>
          <w:rFonts w:ascii="Times New Roman" w:hAnsi="Times New Roman" w:cs="Arial"/>
          <w:b/>
          <w:sz w:val="28"/>
        </w:rPr>
      </w:pPr>
    </w:p>
    <w:bookmarkStart w:id="75" w:name="_Toc351539746" w:displacedByCustomXml="next"/>
    <w:sdt>
      <w:sdtPr>
        <w:id w:val="-1330439374"/>
        <w:docPartObj>
          <w:docPartGallery w:val="Bibliographies"/>
          <w:docPartUnique/>
        </w:docPartObj>
      </w:sdtPr>
      <w:sdtEndPr>
        <w:rPr>
          <w:rFonts w:asciiTheme="minorHAnsi" w:eastAsiaTheme="minorHAnsi" w:hAnsiTheme="minorHAnsi" w:cstheme="minorBidi"/>
          <w:b w:val="0"/>
          <w:bCs w:val="0"/>
          <w:color w:val="auto"/>
          <w:sz w:val="22"/>
          <w:szCs w:val="22"/>
          <w:lang w:eastAsia="en-US"/>
        </w:rPr>
      </w:sdtEndPr>
      <w:sdtContent>
        <w:p w:rsidR="00FB2B17" w:rsidRDefault="00FB2B17">
          <w:pPr>
            <w:pStyle w:val="Naslov1"/>
          </w:pPr>
          <w:r>
            <w:t>Bibliografija</w:t>
          </w:r>
          <w:bookmarkEnd w:id="75"/>
        </w:p>
        <w:sdt>
          <w:sdtPr>
            <w:id w:val="111145805"/>
            <w:bibliography/>
          </w:sdtPr>
          <w:sdtContent>
            <w:p w:rsidR="00FB2B17" w:rsidRDefault="00FB2B17" w:rsidP="00FB2B17">
              <w:pPr>
                <w:pStyle w:val="Bibliografija"/>
                <w:ind w:left="720" w:hanging="720"/>
                <w:rPr>
                  <w:noProof/>
                </w:rPr>
              </w:pPr>
              <w:r>
                <w:fldChar w:fldCharType="begin"/>
              </w:r>
              <w:r>
                <w:instrText>BIBLIOGRAPHY</w:instrText>
              </w:r>
              <w:r>
                <w:fldChar w:fldCharType="separate"/>
              </w:r>
              <w:r>
                <w:rPr>
                  <w:noProof/>
                </w:rPr>
                <w:t>(n.d.).</w:t>
              </w:r>
            </w:p>
            <w:p w:rsidR="00FB2B17" w:rsidRDefault="00FB2B17" w:rsidP="00FB2B17">
              <w:pPr>
                <w:pStyle w:val="Bibliografija"/>
                <w:ind w:left="720" w:hanging="720"/>
                <w:rPr>
                  <w:noProof/>
                </w:rPr>
              </w:pPr>
              <w:r>
                <w:rPr>
                  <w:noProof/>
                </w:rPr>
                <w:t xml:space="preserve">Blair, J. P. (1995). </w:t>
              </w:r>
              <w:r>
                <w:rPr>
                  <w:i/>
                  <w:iCs/>
                  <w:noProof/>
                </w:rPr>
                <w:t>Local economic development.</w:t>
              </w:r>
              <w:r>
                <w:rPr>
                  <w:noProof/>
                </w:rPr>
                <w:t xml:space="preserve"> London: SAGE Publications.</w:t>
              </w:r>
            </w:p>
            <w:p w:rsidR="00FB2B17" w:rsidRDefault="00FB2B17" w:rsidP="00FB2B17">
              <w:pPr>
                <w:pStyle w:val="Bibliografija"/>
                <w:ind w:left="720" w:hanging="720"/>
                <w:rPr>
                  <w:noProof/>
                </w:rPr>
              </w:pPr>
              <w:r>
                <w:rPr>
                  <w:noProof/>
                </w:rPr>
                <w:t xml:space="preserve">Blakely, E. J., &amp; Green Leigh, N. (2010). </w:t>
              </w:r>
              <w:r>
                <w:rPr>
                  <w:i/>
                  <w:iCs/>
                  <w:noProof/>
                </w:rPr>
                <w:t>Planning local economic development; theory and practice</w:t>
              </w:r>
              <w:r>
                <w:rPr>
                  <w:noProof/>
                </w:rPr>
                <w:t xml:space="preserve"> (4th Edition izd.). Thousand Oaks, California: SAGE Publications, Inc.</w:t>
              </w:r>
            </w:p>
            <w:p w:rsidR="00FB2B17" w:rsidRDefault="00FB2B17" w:rsidP="00FB2B17">
              <w:pPr>
                <w:pStyle w:val="Bibliografija"/>
                <w:ind w:left="720" w:hanging="720"/>
                <w:rPr>
                  <w:noProof/>
                </w:rPr>
              </w:pPr>
              <w:r>
                <w:rPr>
                  <w:noProof/>
                </w:rPr>
                <w:t xml:space="preserve">Blakely, E., &amp; Bradshaw, T. (2002). </w:t>
              </w:r>
              <w:r>
                <w:rPr>
                  <w:i/>
                  <w:iCs/>
                  <w:noProof/>
                </w:rPr>
                <w:t>Planning local economic development: Theory and practice.</w:t>
              </w:r>
              <w:r>
                <w:rPr>
                  <w:noProof/>
                </w:rPr>
                <w:t xml:space="preserve"> Thousands Oaks: Sage Publications.</w:t>
              </w:r>
            </w:p>
            <w:p w:rsidR="00FB2B17" w:rsidRDefault="00FB2B17" w:rsidP="00FB2B17">
              <w:pPr>
                <w:pStyle w:val="Bibliografija"/>
                <w:ind w:left="720" w:hanging="720"/>
                <w:rPr>
                  <w:noProof/>
                </w:rPr>
              </w:pPr>
              <w:r>
                <w:rPr>
                  <w:noProof/>
                </w:rPr>
                <w:t xml:space="preserve">Čavrak, V. (2012). Uloga gradova u regionalnom razvoju. </w:t>
              </w:r>
              <w:r>
                <w:rPr>
                  <w:i/>
                  <w:iCs/>
                  <w:noProof/>
                </w:rPr>
                <w:t>Rifin</w:t>
              </w:r>
              <w:r>
                <w:rPr>
                  <w:noProof/>
                </w:rPr>
                <w:t>.</w:t>
              </w:r>
            </w:p>
            <w:p w:rsidR="00FB2B17" w:rsidRDefault="00FB2B17" w:rsidP="00FB2B17">
              <w:pPr>
                <w:pStyle w:val="Bibliografija"/>
                <w:ind w:left="720" w:hanging="720"/>
                <w:rPr>
                  <w:noProof/>
                </w:rPr>
              </w:pPr>
              <w:r>
                <w:rPr>
                  <w:noProof/>
                </w:rPr>
                <w:t xml:space="preserve">Družić, I. (1999). </w:t>
              </w:r>
              <w:r>
                <w:rPr>
                  <w:i/>
                  <w:iCs/>
                  <w:noProof/>
                </w:rPr>
                <w:t>Resursi i tržišta Hrvatskog gospodarstva.</w:t>
              </w:r>
              <w:r>
                <w:rPr>
                  <w:noProof/>
                </w:rPr>
                <w:t xml:space="preserve"> Zagreb: Politička kultura.</w:t>
              </w:r>
            </w:p>
            <w:p w:rsidR="00FB2B17" w:rsidRDefault="00FB2B17" w:rsidP="00FB2B17">
              <w:pPr>
                <w:pStyle w:val="Bibliografija"/>
                <w:ind w:left="720" w:hanging="720"/>
                <w:rPr>
                  <w:noProof/>
                </w:rPr>
              </w:pPr>
              <w:r>
                <w:rPr>
                  <w:noProof/>
                </w:rPr>
                <w:t xml:space="preserve">Đerić, A. (2009.). </w:t>
              </w:r>
              <w:r>
                <w:rPr>
                  <w:i/>
                  <w:iCs/>
                  <w:noProof/>
                </w:rPr>
                <w:t>Kreativne industrije i ekonomija znanja.</w:t>
              </w:r>
              <w:r>
                <w:rPr>
                  <w:noProof/>
                </w:rPr>
                <w:t xml:space="preserve"> Beograd: ACADEMICA – Akademska grupa.</w:t>
              </w:r>
            </w:p>
            <w:p w:rsidR="00FB2B17" w:rsidRDefault="00FB2B17" w:rsidP="00FB2B17">
              <w:pPr>
                <w:pStyle w:val="Bibliografija"/>
                <w:ind w:left="720" w:hanging="720"/>
                <w:rPr>
                  <w:noProof/>
                </w:rPr>
              </w:pPr>
              <w:r>
                <w:rPr>
                  <w:noProof/>
                </w:rPr>
                <w:t xml:space="preserve">Hrvatska gospodarska komora, ŽK Zadar. (2011.). </w:t>
              </w:r>
              <w:r>
                <w:rPr>
                  <w:i/>
                  <w:iCs/>
                  <w:noProof/>
                </w:rPr>
                <w:t>Gospodarstvo i komora u Zadru 1806.-2011.</w:t>
              </w:r>
              <w:r>
                <w:rPr>
                  <w:noProof/>
                </w:rPr>
                <w:t xml:space="preserve"> Zadar: HGK.</w:t>
              </w:r>
            </w:p>
            <w:p w:rsidR="00FB2B17" w:rsidRDefault="00FB2B17" w:rsidP="00FB2B17">
              <w:pPr>
                <w:pStyle w:val="Bibliografija"/>
                <w:ind w:left="720" w:hanging="720"/>
                <w:rPr>
                  <w:noProof/>
                </w:rPr>
              </w:pPr>
              <w:r>
                <w:rPr>
                  <w:noProof/>
                </w:rPr>
                <w:t xml:space="preserve">Hrvatski zavod za mirovinsko osiguranje. (više godina). </w:t>
              </w:r>
              <w:r>
                <w:rPr>
                  <w:i/>
                  <w:iCs/>
                  <w:noProof/>
                </w:rPr>
                <w:t>Statističke informacije HZMO-a.</w:t>
              </w:r>
              <w:r>
                <w:rPr>
                  <w:noProof/>
                </w:rPr>
                <w:t xml:space="preserve"> Zagreb: HZMO.</w:t>
              </w:r>
            </w:p>
            <w:p w:rsidR="00FB2B17" w:rsidRDefault="00FB2B17" w:rsidP="00FB2B17">
              <w:pPr>
                <w:pStyle w:val="Bibliografija"/>
                <w:ind w:left="720" w:hanging="720"/>
                <w:rPr>
                  <w:noProof/>
                </w:rPr>
              </w:pPr>
              <w:r>
                <w:rPr>
                  <w:noProof/>
                </w:rPr>
                <w:t xml:space="preserve">Hustedde, R. J., Shaffer, R., &amp; Pulver, G. (1993). </w:t>
              </w:r>
              <w:r>
                <w:rPr>
                  <w:i/>
                  <w:iCs/>
                  <w:noProof/>
                </w:rPr>
                <w:t>Community Econmic Analyses: A How To Manualn.</w:t>
              </w:r>
              <w:r>
                <w:rPr>
                  <w:noProof/>
                </w:rPr>
                <w:t xml:space="preserve"> Ames: North Central Regional Center for Rural Development.</w:t>
              </w:r>
            </w:p>
            <w:p w:rsidR="00FB2B17" w:rsidRDefault="00FB2B17" w:rsidP="00FB2B17">
              <w:pPr>
                <w:pStyle w:val="Bibliografija"/>
                <w:ind w:left="720" w:hanging="720"/>
                <w:rPr>
                  <w:noProof/>
                </w:rPr>
              </w:pPr>
              <w:r>
                <w:rPr>
                  <w:noProof/>
                </w:rPr>
                <w:t xml:space="preserve">Matković, T., Mihail, A., &amp; Šošić, V. (2010). </w:t>
              </w:r>
              <w:r>
                <w:rPr>
                  <w:i/>
                  <w:iCs/>
                  <w:noProof/>
                </w:rPr>
                <w:t>Utjecaj ekonomske krize na tržište rada.</w:t>
              </w:r>
              <w:r>
                <w:rPr>
                  <w:noProof/>
                </w:rPr>
                <w:t xml:space="preserve"> Zagreb: UNDP Hrvatska.</w:t>
              </w:r>
            </w:p>
            <w:p w:rsidR="00FB2B17" w:rsidRDefault="00FB2B17" w:rsidP="00FB2B17">
              <w:pPr>
                <w:pStyle w:val="Bibliografija"/>
                <w:ind w:left="720" w:hanging="720"/>
                <w:rPr>
                  <w:noProof/>
                </w:rPr>
              </w:pPr>
              <w:r>
                <w:rPr>
                  <w:noProof/>
                </w:rPr>
                <w:t xml:space="preserve">Mclean, M. L., &amp; Voytek, K. P. (2009). </w:t>
              </w:r>
              <w:r>
                <w:rPr>
                  <w:i/>
                  <w:iCs/>
                  <w:noProof/>
                </w:rPr>
                <w:t>Razumjevanje vaše ekonomije: Korištenje analize za vođenje lokalnog strateškog planiranja.</w:t>
              </w:r>
              <w:r>
                <w:rPr>
                  <w:noProof/>
                </w:rPr>
                <w:t xml:space="preserve"> Zagreb: MATE d.o.o., Zagreb.</w:t>
              </w:r>
            </w:p>
            <w:p w:rsidR="00FB2B17" w:rsidRDefault="00FB2B17" w:rsidP="00FB2B17">
              <w:pPr>
                <w:pStyle w:val="Bibliografija"/>
                <w:ind w:left="720" w:hanging="720"/>
                <w:rPr>
                  <w:noProof/>
                </w:rPr>
              </w:pPr>
              <w:r>
                <w:rPr>
                  <w:noProof/>
                </w:rPr>
                <w:t xml:space="preserve">Mclean, M. L., &amp; Voytek, K. P. (2009). </w:t>
              </w:r>
              <w:r>
                <w:rPr>
                  <w:i/>
                  <w:iCs/>
                  <w:noProof/>
                </w:rPr>
                <w:t>Razumjevanje vaše ekonomije: Korištenje analize za vođenje lokalnog strateškog planiranja.</w:t>
              </w:r>
              <w:r>
                <w:rPr>
                  <w:noProof/>
                </w:rPr>
                <w:t xml:space="preserve"> Zagreb: MATE d.o.o., Zagreb.</w:t>
              </w:r>
            </w:p>
            <w:p w:rsidR="00FB2B17" w:rsidRDefault="00FB2B17" w:rsidP="00FB2B17">
              <w:pPr>
                <w:pStyle w:val="Bibliografija"/>
                <w:ind w:left="720" w:hanging="720"/>
                <w:rPr>
                  <w:noProof/>
                </w:rPr>
              </w:pPr>
              <w:r>
                <w:rPr>
                  <w:noProof/>
                </w:rPr>
                <w:t xml:space="preserve">MojPosao. (rujan 2012). </w:t>
              </w:r>
              <w:r>
                <w:rPr>
                  <w:i/>
                  <w:iCs/>
                  <w:noProof/>
                </w:rPr>
                <w:t>Plaće u RH</w:t>
              </w:r>
              <w:r>
                <w:rPr>
                  <w:noProof/>
                </w:rPr>
                <w:t>. Preuzeto studeni 2012 iz MojPosao: http://www.moj-posao.net/</w:t>
              </w:r>
            </w:p>
            <w:p w:rsidR="00FB2B17" w:rsidRDefault="00FB2B17" w:rsidP="00FB2B17">
              <w:pPr>
                <w:pStyle w:val="Bibliografija"/>
                <w:ind w:left="720" w:hanging="720"/>
                <w:rPr>
                  <w:noProof/>
                </w:rPr>
              </w:pPr>
              <w:r>
                <w:rPr>
                  <w:noProof/>
                </w:rPr>
                <w:t xml:space="preserve">MojPosao. (2012). </w:t>
              </w:r>
              <w:r>
                <w:rPr>
                  <w:i/>
                  <w:iCs/>
                  <w:noProof/>
                </w:rPr>
                <w:t>Stanje na tržištu rada.</w:t>
              </w:r>
              <w:r>
                <w:rPr>
                  <w:noProof/>
                </w:rPr>
                <w:t xml:space="preserve"> Zagreb: MojPosao.</w:t>
              </w:r>
            </w:p>
            <w:p w:rsidR="00FB2B17" w:rsidRDefault="00FB2B17" w:rsidP="00FB2B17">
              <w:pPr>
                <w:pStyle w:val="Bibliografija"/>
                <w:ind w:left="720" w:hanging="720"/>
                <w:rPr>
                  <w:noProof/>
                </w:rPr>
              </w:pPr>
              <w:r>
                <w:rPr>
                  <w:noProof/>
                </w:rPr>
                <w:t xml:space="preserve">Mrnjavac, Ž., &amp; Pašalić, Ž. (2000). Lokalni sustav malih poduzeća i gospodarski razvitak. U D. Derado, D. Grubišić, Ž. Mrnjavac, Ž. Pašalić, &amp; L. Vidučić, </w:t>
              </w:r>
              <w:r>
                <w:rPr>
                  <w:i/>
                  <w:iCs/>
                  <w:noProof/>
                </w:rPr>
                <w:t>Lokalni sustavi malih poduzeća.</w:t>
              </w:r>
              <w:r>
                <w:rPr>
                  <w:noProof/>
                </w:rPr>
                <w:t xml:space="preserve"> Split: Ekonomski fakultet Split.</w:t>
              </w:r>
            </w:p>
            <w:p w:rsidR="00FB2B17" w:rsidRDefault="00FB2B17" w:rsidP="00FB2B17">
              <w:pPr>
                <w:pStyle w:val="Bibliografija"/>
                <w:ind w:left="720" w:hanging="720"/>
                <w:rPr>
                  <w:noProof/>
                </w:rPr>
              </w:pPr>
              <w:r>
                <w:rPr>
                  <w:noProof/>
                </w:rPr>
                <w:t xml:space="preserve">Rutkowski, J. (2003). Analiza i prijedlozi poboljšanja tržišta rada u Hrvatskoj. </w:t>
              </w:r>
              <w:r>
                <w:rPr>
                  <w:i/>
                  <w:iCs/>
                  <w:noProof/>
                </w:rPr>
                <w:t>Financijska teorija i praksa</w:t>
              </w:r>
              <w:r>
                <w:rPr>
                  <w:noProof/>
                </w:rPr>
                <w:t>, str. str. 495-513.</w:t>
              </w:r>
            </w:p>
            <w:p w:rsidR="00FB2B17" w:rsidRDefault="00FB2B17" w:rsidP="00FB2B17">
              <w:pPr>
                <w:pStyle w:val="Bibliografija"/>
                <w:ind w:left="720" w:hanging="720"/>
                <w:rPr>
                  <w:noProof/>
                </w:rPr>
              </w:pPr>
              <w:r>
                <w:rPr>
                  <w:noProof/>
                </w:rPr>
                <w:t xml:space="preserve">Wolman, H., &amp; Spitzley, D. (1996). The politics of local economic development. </w:t>
              </w:r>
              <w:r>
                <w:rPr>
                  <w:i/>
                  <w:iCs/>
                  <w:noProof/>
                </w:rPr>
                <w:t>Economic Development Quarterly</w:t>
              </w:r>
              <w:r>
                <w:rPr>
                  <w:noProof/>
                </w:rPr>
                <w:t>, 115-148.</w:t>
              </w:r>
            </w:p>
            <w:p w:rsidR="00FB2B17" w:rsidRPr="009343C8" w:rsidRDefault="00FB2B17" w:rsidP="009343C8">
              <w:r>
                <w:rPr>
                  <w:b/>
                  <w:bCs/>
                </w:rPr>
                <w:fldChar w:fldCharType="end"/>
              </w:r>
            </w:p>
          </w:sdtContent>
        </w:sdt>
      </w:sdtContent>
    </w:sdt>
    <w:p w:rsidR="009343C8" w:rsidRPr="009343C8" w:rsidRDefault="009343C8">
      <w:pPr>
        <w:pStyle w:val="Tablicaslika"/>
        <w:tabs>
          <w:tab w:val="right" w:leader="dot" w:pos="9062"/>
        </w:tabs>
        <w:rPr>
          <w:rFonts w:ascii="Corbel" w:hAnsi="Corbel" w:cs="Arial"/>
          <w:sz w:val="24"/>
        </w:rPr>
      </w:pPr>
      <w:r w:rsidRPr="009343C8">
        <w:rPr>
          <w:rFonts w:ascii="Corbel" w:hAnsi="Corbel" w:cs="Arial"/>
          <w:sz w:val="24"/>
        </w:rPr>
        <w:lastRenderedPageBreak/>
        <w:t>TABLICE</w:t>
      </w:r>
    </w:p>
    <w:p w:rsidR="009343C8" w:rsidRPr="009343C8" w:rsidRDefault="009343C8" w:rsidP="009343C8">
      <w:pPr>
        <w:rPr>
          <w:rFonts w:ascii="Corbel" w:hAnsi="Corbel"/>
          <w:sz w:val="20"/>
        </w:rPr>
      </w:pPr>
    </w:p>
    <w:p w:rsidR="009343C8" w:rsidRPr="009343C8" w:rsidRDefault="009343C8">
      <w:pPr>
        <w:pStyle w:val="Tablicaslika"/>
        <w:tabs>
          <w:tab w:val="right" w:leader="dot" w:pos="9062"/>
        </w:tabs>
        <w:rPr>
          <w:rFonts w:ascii="Corbel" w:hAnsi="Corbel"/>
          <w:noProof/>
          <w:sz w:val="20"/>
        </w:rPr>
      </w:pPr>
      <w:r w:rsidRPr="009343C8">
        <w:rPr>
          <w:rFonts w:ascii="Corbel" w:hAnsi="Corbel" w:cs="Arial"/>
          <w:b/>
          <w:sz w:val="24"/>
        </w:rPr>
        <w:fldChar w:fldCharType="begin"/>
      </w:r>
      <w:r w:rsidRPr="009343C8">
        <w:rPr>
          <w:rFonts w:ascii="Corbel" w:hAnsi="Corbel" w:cs="Arial"/>
          <w:b/>
          <w:sz w:val="24"/>
        </w:rPr>
        <w:instrText xml:space="preserve"> TOC \h \z \c "Tablica" </w:instrText>
      </w:r>
      <w:r w:rsidRPr="009343C8">
        <w:rPr>
          <w:rFonts w:ascii="Corbel" w:hAnsi="Corbel" w:cs="Arial"/>
          <w:b/>
          <w:sz w:val="24"/>
        </w:rPr>
        <w:fldChar w:fldCharType="separate"/>
      </w:r>
      <w:hyperlink w:anchor="_Toc351538406" w:history="1">
        <w:r w:rsidRPr="009343C8">
          <w:rPr>
            <w:rStyle w:val="Hiperveza"/>
            <w:rFonts w:ascii="Corbel" w:hAnsi="Corbel"/>
            <w:noProof/>
            <w:sz w:val="20"/>
          </w:rPr>
          <w:t>Tablica 1: BDP i BDP po glavi stanovnika za RH i županije Jadranske RH u 2009.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_Toc351538406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07" w:history="1">
        <w:r w:rsidRPr="009343C8">
          <w:rPr>
            <w:rStyle w:val="Hiperveza"/>
            <w:rFonts w:ascii="Corbel" w:hAnsi="Corbel"/>
            <w:noProof/>
            <w:sz w:val="20"/>
          </w:rPr>
          <w:t>Tablica 2: BDP  u tekućim cijenama (u mil. EUR)  od 2000.-2009.  za županije Jadranske RH</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_Toc351538407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08" w:history="1">
        <w:r w:rsidRPr="009343C8">
          <w:rPr>
            <w:rStyle w:val="Hiperveza"/>
            <w:rFonts w:ascii="Corbel" w:hAnsi="Corbel"/>
            <w:noProof/>
            <w:sz w:val="20"/>
          </w:rPr>
          <w:t>Tablica 3: Udio županija u BDV Hrvatske prema djelatnostima NKD-a 2007. u 2009.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_Toc351538408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5</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09" w:history="1">
        <w:r w:rsidRPr="009343C8">
          <w:rPr>
            <w:rStyle w:val="Hiperveza"/>
            <w:rFonts w:ascii="Corbel" w:hAnsi="Corbel"/>
            <w:noProof/>
            <w:sz w:val="20"/>
          </w:rPr>
          <w:t>Tablica 4: Osiguranici (broj zaposlenih) prema osnovama osiguranja u 2011. godini u gradu Zadru</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_Toc351538409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7</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0" w:history="1">
        <w:r w:rsidRPr="009343C8">
          <w:rPr>
            <w:rStyle w:val="Hiperveza"/>
            <w:rFonts w:ascii="Corbel" w:hAnsi="Corbel"/>
            <w:noProof/>
            <w:sz w:val="20"/>
          </w:rPr>
          <w:t>Tablica 5: Osiguranici (broj zaposlenih) prema izabranim gradovima od 2001.-2011. godine</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_Toc351538410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8</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1" w:history="1">
        <w:r w:rsidRPr="009343C8">
          <w:rPr>
            <w:rStyle w:val="Hiperveza"/>
            <w:rFonts w:ascii="Corbel" w:hAnsi="Corbel"/>
            <w:noProof/>
            <w:sz w:val="20"/>
          </w:rPr>
          <w:t>Tablica 6.:  Broj nezaposlenih u izabranim gradovima prema podacima HZZ-a na dan 31.12.</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_Toc351538411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9</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2" w:history="1">
        <w:r w:rsidRPr="009343C8">
          <w:rPr>
            <w:rStyle w:val="Hiperveza"/>
            <w:rFonts w:ascii="Corbel" w:hAnsi="Corbel"/>
            <w:noProof/>
            <w:sz w:val="20"/>
          </w:rPr>
          <w:t>Tablica 7.: Stopa registrirane nezaposlenosti za grad, županiju i RH u zadnje tri godine</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_Toc351538412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11</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3" w:history="1">
        <w:r w:rsidRPr="009343C8">
          <w:rPr>
            <w:rStyle w:val="Hiperveza"/>
            <w:rFonts w:ascii="Corbel" w:hAnsi="Corbel"/>
            <w:noProof/>
            <w:sz w:val="20"/>
          </w:rPr>
          <w:t>Tablica 8.: Visina prosječne isplaćene neto plaće u Zadarskoj županiji po godinama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_Toc351538413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15</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4" w:history="1">
        <w:r w:rsidRPr="009343C8">
          <w:rPr>
            <w:rStyle w:val="Hiperveza"/>
            <w:rFonts w:ascii="Corbel" w:hAnsi="Corbel"/>
            <w:noProof/>
            <w:sz w:val="20"/>
          </w:rPr>
          <w:t>Tablica 9.: Indeks prosperiteta za Zadarsku županiju po djelatnostima, NKD 2002</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_Toc351538414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20</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5" w:history="1">
        <w:r w:rsidRPr="009343C8">
          <w:rPr>
            <w:rStyle w:val="Hiperveza"/>
            <w:rFonts w:ascii="Corbel" w:hAnsi="Corbel"/>
            <w:noProof/>
            <w:sz w:val="20"/>
          </w:rPr>
          <w:t>Tablica 10: Shift-share analiza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_Toc351538415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29</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6" w:history="1">
        <w:r w:rsidRPr="009343C8">
          <w:rPr>
            <w:rStyle w:val="Hiperveza"/>
            <w:rFonts w:ascii="Corbel" w:hAnsi="Corbel"/>
            <w:noProof/>
            <w:sz w:val="20"/>
          </w:rPr>
          <w:t>Tablica 11.: Top 30 tvrtki po izvoz u 2011. godini za Zadar, poredane po veličini ukupnog izvoza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_Toc351538416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37</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7" w:history="1">
        <w:r w:rsidRPr="009343C8">
          <w:rPr>
            <w:rStyle w:val="Hiperveza"/>
            <w:rFonts w:ascii="Corbel" w:hAnsi="Corbel"/>
            <w:noProof/>
            <w:sz w:val="20"/>
          </w:rPr>
          <w:t>Tablica 12.: Broj izvoznika i broj zaposlenih po gradovima u 2001.,2008.,2011.</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_Toc351538417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38</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8" w:history="1">
        <w:r w:rsidRPr="009343C8">
          <w:rPr>
            <w:rStyle w:val="Hiperveza"/>
            <w:rFonts w:ascii="Corbel" w:hAnsi="Corbel"/>
            <w:noProof/>
            <w:sz w:val="20"/>
          </w:rPr>
          <w:t>Tablica 13.: Financijski pokazatelji za 10 najvećih gradova RH u 2011. godini, iznosi u tisućama kuna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_Toc351538418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43</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19" w:history="1">
        <w:r w:rsidRPr="009343C8">
          <w:rPr>
            <w:rStyle w:val="Hiperveza"/>
            <w:rFonts w:ascii="Corbel" w:hAnsi="Corbel"/>
            <w:noProof/>
            <w:sz w:val="20"/>
          </w:rPr>
          <w:t>Tablica 14.: Temeljni financijski pokazatelji poduzetnika u razdoblju rasta i recesije za grad Zadar</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_Toc351538419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hAnsi="Corbel"/>
          <w:noProof/>
          <w:sz w:val="20"/>
        </w:rPr>
      </w:pPr>
      <w:hyperlink w:anchor="_Toc351538420" w:history="1">
        <w:r w:rsidRPr="009343C8">
          <w:rPr>
            <w:rStyle w:val="Hiperveza"/>
            <w:rFonts w:ascii="Corbel" w:hAnsi="Corbel"/>
            <w:noProof/>
            <w:sz w:val="20"/>
          </w:rPr>
          <w:t>Tablica 15.: Zaposleni u obrtima u 2011. godini po odabranim gradovima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_Toc351538420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49</w:t>
        </w:r>
        <w:r w:rsidRPr="009343C8">
          <w:rPr>
            <w:rFonts w:ascii="Corbel" w:hAnsi="Corbel"/>
            <w:noProof/>
            <w:webHidden/>
            <w:sz w:val="20"/>
          </w:rPr>
          <w:fldChar w:fldCharType="end"/>
        </w:r>
      </w:hyperlink>
    </w:p>
    <w:p w:rsidR="00FB2B17" w:rsidRPr="009343C8" w:rsidRDefault="009343C8" w:rsidP="003D0416">
      <w:pPr>
        <w:jc w:val="both"/>
        <w:rPr>
          <w:rFonts w:ascii="Corbel" w:hAnsi="Corbel" w:cs="Arial"/>
          <w:b/>
          <w:sz w:val="24"/>
        </w:rPr>
      </w:pPr>
      <w:r w:rsidRPr="009343C8">
        <w:rPr>
          <w:rFonts w:ascii="Corbel" w:hAnsi="Corbel" w:cs="Arial"/>
          <w:b/>
          <w:sz w:val="24"/>
        </w:rPr>
        <w:fldChar w:fldCharType="end"/>
      </w:r>
    </w:p>
    <w:p w:rsidR="009343C8" w:rsidRPr="009343C8" w:rsidRDefault="009343C8" w:rsidP="003D0416">
      <w:pPr>
        <w:jc w:val="both"/>
        <w:rPr>
          <w:rFonts w:ascii="Corbel" w:hAnsi="Corbel" w:cs="Arial"/>
          <w:sz w:val="24"/>
        </w:rPr>
      </w:pPr>
      <w:r w:rsidRPr="009343C8">
        <w:rPr>
          <w:rFonts w:ascii="Corbel" w:hAnsi="Corbel" w:cs="Arial"/>
          <w:sz w:val="24"/>
        </w:rPr>
        <w:t>SLIKE</w:t>
      </w:r>
    </w:p>
    <w:p w:rsidR="009343C8" w:rsidRPr="009343C8" w:rsidRDefault="009343C8">
      <w:pPr>
        <w:pStyle w:val="Tablicaslika"/>
        <w:tabs>
          <w:tab w:val="right" w:leader="dot" w:pos="9062"/>
        </w:tabs>
        <w:rPr>
          <w:rFonts w:ascii="Corbel" w:eastAsiaTheme="minorEastAsia" w:hAnsi="Corbel"/>
          <w:noProof/>
          <w:sz w:val="20"/>
          <w:lang w:eastAsia="hr-HR"/>
        </w:rPr>
      </w:pPr>
      <w:r w:rsidRPr="009343C8">
        <w:rPr>
          <w:rFonts w:ascii="Corbel" w:hAnsi="Corbel" w:cs="Arial"/>
          <w:b/>
          <w:sz w:val="24"/>
        </w:rPr>
        <w:fldChar w:fldCharType="begin"/>
      </w:r>
      <w:r w:rsidRPr="009343C8">
        <w:rPr>
          <w:rFonts w:ascii="Corbel" w:hAnsi="Corbel" w:cs="Arial"/>
          <w:b/>
          <w:sz w:val="24"/>
        </w:rPr>
        <w:instrText xml:space="preserve"> TOC \h \z \c "Slika" </w:instrText>
      </w:r>
      <w:r w:rsidRPr="009343C8">
        <w:rPr>
          <w:rFonts w:ascii="Corbel" w:hAnsi="Corbel" w:cs="Arial"/>
          <w:b/>
          <w:sz w:val="24"/>
        </w:rPr>
        <w:fldChar w:fldCharType="separate"/>
      </w:r>
      <w:hyperlink w:anchor="_Toc351538464" w:history="1">
        <w:r w:rsidRPr="009343C8">
          <w:rPr>
            <w:rStyle w:val="Hiperveza"/>
            <w:rFonts w:ascii="Corbel" w:hAnsi="Corbel"/>
            <w:noProof/>
            <w:sz w:val="20"/>
          </w:rPr>
          <w:t>Slika 1: BDP po županijama od 2000. do 2009. godine</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_Toc351538464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5</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65" w:history="1">
        <w:r w:rsidRPr="009343C8">
          <w:rPr>
            <w:rStyle w:val="Hiperveza"/>
            <w:rFonts w:ascii="Corbel" w:hAnsi="Corbel"/>
            <w:noProof/>
            <w:sz w:val="20"/>
          </w:rPr>
          <w:t>Slika 2: Struktura zaposlenih prema vrsti poslodavca u gradu Zadru</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_Toc351538465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7</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66" w:history="1">
        <w:r w:rsidRPr="009343C8">
          <w:rPr>
            <w:rStyle w:val="Hiperveza"/>
            <w:rFonts w:ascii="Corbel" w:hAnsi="Corbel"/>
            <w:noProof/>
            <w:sz w:val="20"/>
          </w:rPr>
          <w:t>Slika 3: Indeks broja zaposlenih po godinama i gradovima od 2001.-2011. godine, 2001=100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_Toc351538466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8</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67" w:history="1">
        <w:r w:rsidRPr="009343C8">
          <w:rPr>
            <w:rStyle w:val="Hiperveza"/>
            <w:rFonts w:ascii="Corbel" w:hAnsi="Corbel"/>
            <w:noProof/>
            <w:sz w:val="20"/>
          </w:rPr>
          <w:t>Slika 4.: Stope nezaposlenosti po godinama i izabranim gradovima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_Toc351538467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10</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68" w:history="1">
        <w:r w:rsidRPr="009343C8">
          <w:rPr>
            <w:rStyle w:val="Hiperveza"/>
            <w:rFonts w:ascii="Corbel" w:hAnsi="Corbel"/>
            <w:noProof/>
            <w:sz w:val="20"/>
          </w:rPr>
          <w:t>Slika 5.: Indeks broja nezaposlenih po godinama i izabranim gradovima, 2001=100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_Toc351538468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10</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69" w:history="1">
        <w:r w:rsidRPr="009343C8">
          <w:rPr>
            <w:rStyle w:val="Hiperveza"/>
            <w:rFonts w:ascii="Corbel" w:hAnsi="Corbel"/>
            <w:noProof/>
            <w:sz w:val="20"/>
          </w:rPr>
          <w:t>Slika 6.: Indeks broja zaposlenih i broja nezaposlenih za grad Zadar po godinama, 2001=100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_Toc351538469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11</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0" w:history="1">
        <w:r w:rsidRPr="009343C8">
          <w:rPr>
            <w:rStyle w:val="Hiperveza"/>
            <w:rFonts w:ascii="Corbel" w:hAnsi="Corbel"/>
            <w:noProof/>
            <w:sz w:val="20"/>
          </w:rPr>
          <w:t>Slika 7.: Struktura nezaposlenosti za grad Zadar prema razini obrazovanja u 2011.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_Toc351538470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12</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1" w:history="1">
        <w:r w:rsidRPr="009343C8">
          <w:rPr>
            <w:rStyle w:val="Hiperveza"/>
            <w:rFonts w:ascii="Corbel" w:hAnsi="Corbel"/>
            <w:noProof/>
            <w:sz w:val="20"/>
          </w:rPr>
          <w:t>Slika 8.: Promjene u strukturi nezaposlenosti od 2008.-2011. godine</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_Toc351538471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13</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2" w:history="1">
        <w:r w:rsidRPr="009343C8">
          <w:rPr>
            <w:rStyle w:val="Hiperveza"/>
            <w:rFonts w:ascii="Corbel" w:hAnsi="Corbel"/>
            <w:noProof/>
            <w:sz w:val="20"/>
          </w:rPr>
          <w:t>Slika 9.: Struktura nezaposlenosti za grad Zadar prema dobi u 2011.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_Toc351538472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3" w:history="1">
        <w:r w:rsidRPr="009343C8">
          <w:rPr>
            <w:rStyle w:val="Hiperveza"/>
            <w:rFonts w:ascii="Corbel" w:hAnsi="Corbel"/>
            <w:noProof/>
            <w:sz w:val="20"/>
          </w:rPr>
          <w:t>Slika 10.: Udio nezaposlenih osoba u gradu Zadru prema dobi u 2008. i 2011.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_Toc351538473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4" w:history="1">
        <w:r w:rsidRPr="009343C8">
          <w:rPr>
            <w:rStyle w:val="Hiperveza"/>
            <w:rFonts w:ascii="Corbel" w:hAnsi="Corbel"/>
            <w:noProof/>
            <w:sz w:val="20"/>
          </w:rPr>
          <w:t>Slika 11.: Indeks neto plaća po županijama od 2001.-2010., 2001=100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_Toc351538474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16</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5" w:history="1">
        <w:r w:rsidRPr="009343C8">
          <w:rPr>
            <w:rStyle w:val="Hiperveza"/>
            <w:rFonts w:ascii="Corbel" w:hAnsi="Corbel"/>
            <w:noProof/>
            <w:sz w:val="20"/>
          </w:rPr>
          <w:t>Slika 12.: Visina prosječne neto plaće po županijama u 2010.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_Toc351538475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16</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6" w:history="1">
        <w:r w:rsidRPr="009343C8">
          <w:rPr>
            <w:rStyle w:val="Hiperveza"/>
            <w:rFonts w:ascii="Corbel" w:hAnsi="Corbel"/>
            <w:noProof/>
            <w:sz w:val="20"/>
          </w:rPr>
          <w:t>Slika 13.: Prosječna isplaćena neto plaća po djelatnostima za Zadarsku županiju u 2010.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_Toc351538476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17</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7" w:history="1">
        <w:r w:rsidRPr="009343C8">
          <w:rPr>
            <w:rStyle w:val="Hiperveza"/>
            <w:rFonts w:ascii="Corbel" w:hAnsi="Corbel"/>
            <w:noProof/>
            <w:sz w:val="20"/>
          </w:rPr>
          <w:t>Slika 14.: Postotni porast plaća u razdoblju od 2001.-2007. godine po djelatnostima Zadarske županije, NKD 2002*</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_Toc351538477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18</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8" w:history="1">
        <w:r w:rsidRPr="009343C8">
          <w:rPr>
            <w:rStyle w:val="Hiperveza"/>
            <w:rFonts w:ascii="Corbel" w:hAnsi="Corbel"/>
            <w:noProof/>
            <w:sz w:val="20"/>
          </w:rPr>
          <w:t>Slika 15.: Prosječna neto plaća prema stupnju stručne spreme za Zadarsku županiju u 2010.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_Toc351538478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19</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79" w:history="1">
        <w:r w:rsidRPr="009343C8">
          <w:rPr>
            <w:rStyle w:val="Hiperveza"/>
            <w:rFonts w:ascii="Corbel" w:hAnsi="Corbel"/>
            <w:noProof/>
            <w:sz w:val="20"/>
          </w:rPr>
          <w:t>Slika 16.: Struktura zaposlenosti po djelatnostima u gradu Zadru 2011. godine</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_Toc351538479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24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0" w:history="1">
        <w:r w:rsidRPr="009343C8">
          <w:rPr>
            <w:rStyle w:val="Hiperveza"/>
            <w:rFonts w:ascii="Corbel" w:hAnsi="Corbel"/>
            <w:noProof/>
            <w:sz w:val="20"/>
          </w:rPr>
          <w:t>Slika 17.: Lokacijski kvocijent za grad Zadar u odnosu prema RH i prema Istri u 2011. godini, NKD 2007</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_Toc351538480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26</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1" w:history="1">
        <w:r w:rsidRPr="009343C8">
          <w:rPr>
            <w:rStyle w:val="Hiperveza"/>
            <w:rFonts w:ascii="Corbel" w:hAnsi="Corbel"/>
            <w:noProof/>
            <w:sz w:val="20"/>
          </w:rPr>
          <w:t>Slika 18.: Promjena zaposlenosti 2001.-2008. po djelatnostima za RH, grad Zadar i Istarsku županiju, NKD 2002</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_Toc351538481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28</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2" w:history="1">
        <w:r w:rsidRPr="009343C8">
          <w:rPr>
            <w:rStyle w:val="Hiperveza"/>
            <w:rFonts w:ascii="Corbel" w:hAnsi="Corbel"/>
            <w:noProof/>
            <w:sz w:val="20"/>
          </w:rPr>
          <w:t>Slika 19.: Promjena zaposlenosti 2009.-2011. po djelatnostima za RH i grad Zadar, NKD 2007</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_Toc351538482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32</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3" w:history="1">
        <w:r w:rsidRPr="009343C8">
          <w:rPr>
            <w:rStyle w:val="Hiperveza"/>
            <w:rFonts w:ascii="Corbel" w:hAnsi="Corbel"/>
            <w:noProof/>
            <w:sz w:val="20"/>
          </w:rPr>
          <w:t>Slika 20.: Indeks izvoza za grad Zadar, ZŽ i RH, 2006=100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_Toc351538483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33</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4" w:history="1">
        <w:r w:rsidRPr="009343C8">
          <w:rPr>
            <w:rStyle w:val="Hiperveza"/>
            <w:rFonts w:ascii="Corbel" w:hAnsi="Corbel"/>
            <w:noProof/>
            <w:sz w:val="20"/>
          </w:rPr>
          <w:t>Slika 21.: Indeks uvoza za Zadar, ZŽ i RH, 2006.=100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_Toc351538484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33</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5" w:history="1">
        <w:r w:rsidRPr="009343C8">
          <w:rPr>
            <w:rStyle w:val="Hiperveza"/>
            <w:rFonts w:ascii="Corbel" w:hAnsi="Corbel"/>
            <w:noProof/>
            <w:sz w:val="20"/>
          </w:rPr>
          <w:t>Slika 22.: Pokrivenost uvoza izvozom za grad Zadar 2006.-2011.</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_Toc351538485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6" w:history="1">
        <w:r w:rsidRPr="009343C8">
          <w:rPr>
            <w:rStyle w:val="Hiperveza"/>
            <w:rFonts w:ascii="Corbel" w:hAnsi="Corbel"/>
            <w:noProof/>
            <w:sz w:val="20"/>
          </w:rPr>
          <w:t>Slika 23.: pokrivenost uvoza izvozom za RH, 2006.-2011.</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_Toc351538486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7" w:history="1">
        <w:r w:rsidRPr="009343C8">
          <w:rPr>
            <w:rStyle w:val="Hiperveza"/>
            <w:rFonts w:ascii="Corbel" w:hAnsi="Corbel"/>
            <w:noProof/>
            <w:sz w:val="20"/>
          </w:rPr>
          <w:t>Slika 24.: Izvoz po županijama i gradovima Jadranske RH u 2011. godini, u tis. kn</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_Toc351538487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35</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8" w:history="1">
        <w:r w:rsidRPr="009343C8">
          <w:rPr>
            <w:rStyle w:val="Hiperveza"/>
            <w:rFonts w:ascii="Corbel" w:hAnsi="Corbel"/>
            <w:noProof/>
            <w:sz w:val="20"/>
          </w:rPr>
          <w:t>Slika 25.: Struktura top 30 izvoznih poduzeća iz Zadra u 2011.</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_Toc351538488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36</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89" w:history="1">
        <w:r w:rsidRPr="009343C8">
          <w:rPr>
            <w:rStyle w:val="Hiperveza"/>
            <w:rFonts w:ascii="Corbel" w:hAnsi="Corbel"/>
            <w:noProof/>
            <w:sz w:val="20"/>
          </w:rPr>
          <w:t>Slika 26.: Udio iznosa izvoza po sektorima za grad Zadar</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_Toc351538489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37</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0" w:history="1">
        <w:r w:rsidRPr="009343C8">
          <w:rPr>
            <w:rStyle w:val="Hiperveza"/>
            <w:rFonts w:ascii="Corbel" w:hAnsi="Corbel"/>
            <w:noProof/>
            <w:sz w:val="20"/>
          </w:rPr>
          <w:t>Slika 27.: Udio zaposlenih u izvozu u odnosu na ukupnu zaposlenost po godinama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_Toc351538490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39</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1" w:history="1">
        <w:r w:rsidRPr="009343C8">
          <w:rPr>
            <w:rStyle w:val="Hiperveza"/>
            <w:rFonts w:ascii="Corbel" w:hAnsi="Corbel"/>
            <w:noProof/>
            <w:sz w:val="20"/>
          </w:rPr>
          <w:t>Slika 28.: Udio investicija županija u ukupnim RH investicijama u 2009.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_Toc351538491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39</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2" w:history="1">
        <w:r w:rsidRPr="009343C8">
          <w:rPr>
            <w:rStyle w:val="Hiperveza"/>
            <w:rFonts w:ascii="Corbel" w:hAnsi="Corbel"/>
            <w:noProof/>
            <w:sz w:val="20"/>
          </w:rPr>
          <w:t>Slika 29.: Kretanje investicija za područje županija JRH i RH od 2001.do 2010.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_Toc351538492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40</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3" w:history="1">
        <w:r w:rsidRPr="009343C8">
          <w:rPr>
            <w:rStyle w:val="Hiperveza"/>
            <w:rFonts w:ascii="Corbel" w:hAnsi="Corbel"/>
            <w:noProof/>
            <w:sz w:val="20"/>
          </w:rPr>
          <w:t>Slika 30.: Struktura investicija u Zadarskoj županiji po sektorima, NKD 2007 u 2009.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_Toc351538493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41</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4" w:history="1">
        <w:r w:rsidRPr="009343C8">
          <w:rPr>
            <w:rStyle w:val="Hiperveza"/>
            <w:rFonts w:ascii="Corbel" w:hAnsi="Corbel"/>
            <w:noProof/>
            <w:sz w:val="20"/>
          </w:rPr>
          <w:t>Slika 31.: Struktura investicija u Zadarskoj županiji po sektorima, NKD 2002 u 2007. godini</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_Toc351538494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41</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5" w:history="1">
        <w:r w:rsidRPr="009343C8">
          <w:rPr>
            <w:rStyle w:val="Hiperveza"/>
            <w:rFonts w:ascii="Corbel" w:hAnsi="Corbel"/>
            <w:noProof/>
            <w:sz w:val="20"/>
          </w:rPr>
          <w:t>Slika 32.: Promjena investicija u 2007. godini u odnosu na 2001. godinu za Zadarsku županiju</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_Toc351538495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42</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6" w:history="1">
        <w:r w:rsidRPr="009343C8">
          <w:rPr>
            <w:rStyle w:val="Hiperveza"/>
            <w:rFonts w:ascii="Corbel" w:hAnsi="Corbel"/>
            <w:noProof/>
            <w:sz w:val="20"/>
          </w:rPr>
          <w:t>Slika 33.: Broj zaposlenih po poduzeću  za 10 najvećih gradova</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_Toc351538496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44</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7" w:history="1">
        <w:r w:rsidRPr="009343C8">
          <w:rPr>
            <w:rStyle w:val="Hiperveza"/>
            <w:rFonts w:ascii="Corbel" w:hAnsi="Corbel"/>
            <w:noProof/>
            <w:sz w:val="20"/>
          </w:rPr>
          <w:t>Slika 34.: Broj blokiranih poslovnih subjekata i broj zaposlenih u blok. poslovnim subjektima od 2005. do 2012. u Zadru</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_Toc351538497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46</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8" w:history="1">
        <w:r w:rsidRPr="009343C8">
          <w:rPr>
            <w:rStyle w:val="Hiperveza"/>
            <w:rFonts w:ascii="Corbel" w:hAnsi="Corbel"/>
            <w:noProof/>
            <w:sz w:val="20"/>
          </w:rPr>
          <w:t>Slika 35.: Rast ukupnog duga blokiranih poslovnih subjekata u Zadru</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_Toc351538498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46</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499" w:history="1">
        <w:r w:rsidRPr="009343C8">
          <w:rPr>
            <w:rStyle w:val="Hiperveza"/>
            <w:rFonts w:ascii="Corbel" w:hAnsi="Corbel"/>
            <w:noProof/>
            <w:sz w:val="20"/>
          </w:rPr>
          <w:t>Slika 36.: Indeks broja poslovnih subjekata u blokadi, broja zaposlenih i iznosa neizvršenih plaćanja za Zadar, 2005=100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_Toc351538499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47</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500" w:history="1">
        <w:r w:rsidRPr="009343C8">
          <w:rPr>
            <w:rStyle w:val="Hiperveza"/>
            <w:rFonts w:ascii="Corbel" w:hAnsi="Corbel"/>
            <w:noProof/>
            <w:sz w:val="20"/>
          </w:rPr>
          <w:t>Slika 37.: Odnos trgovačkih društava i obrta u ZŽ i RH</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_Toc351538500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48</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501" w:history="1">
        <w:r w:rsidRPr="009343C8">
          <w:rPr>
            <w:rStyle w:val="Hiperveza"/>
            <w:rFonts w:ascii="Corbel" w:hAnsi="Corbel"/>
            <w:noProof/>
            <w:sz w:val="20"/>
          </w:rPr>
          <w:t>Slika 38.: Indeks broja aktivnih obrta za Zadarsku županiju i RH od 2006. do 2011., 2006.=100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_Toc351538501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49</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502" w:history="1">
        <w:r w:rsidRPr="009343C8">
          <w:rPr>
            <w:rStyle w:val="Hiperveza"/>
            <w:rFonts w:ascii="Corbel" w:hAnsi="Corbel"/>
            <w:noProof/>
            <w:sz w:val="20"/>
          </w:rPr>
          <w:t>Slika 39.: Indeks kretanja zaposlenosti u obrtima za izabrane gradove od 2001. do 2011., 2001.=100</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_Toc351538502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50</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503" w:history="1">
        <w:r w:rsidRPr="009343C8">
          <w:rPr>
            <w:rStyle w:val="Hiperveza"/>
            <w:rFonts w:ascii="Corbel" w:hAnsi="Corbel"/>
            <w:noProof/>
            <w:sz w:val="20"/>
          </w:rPr>
          <w:t>Slika 40.: Cehovski ustroj u aktivnim obrtima prema županijama i oznaci glavne djelatnosti u sjedištu prosinac 2011</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_Toc351538503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51</w:t>
        </w:r>
        <w:r w:rsidRPr="009343C8">
          <w:rPr>
            <w:rFonts w:ascii="Corbel" w:hAnsi="Corbel"/>
            <w:noProof/>
            <w:webHidden/>
            <w:sz w:val="20"/>
          </w:rPr>
          <w:fldChar w:fldCharType="end"/>
        </w:r>
      </w:hyperlink>
    </w:p>
    <w:p w:rsidR="009343C8" w:rsidRPr="009343C8" w:rsidRDefault="009343C8">
      <w:pPr>
        <w:pStyle w:val="Tablicaslika"/>
        <w:tabs>
          <w:tab w:val="right" w:leader="dot" w:pos="9062"/>
        </w:tabs>
        <w:rPr>
          <w:rFonts w:ascii="Corbel" w:eastAsiaTheme="minorEastAsia" w:hAnsi="Corbel"/>
          <w:noProof/>
          <w:sz w:val="20"/>
          <w:lang w:eastAsia="hr-HR"/>
        </w:rPr>
      </w:pPr>
      <w:hyperlink w:anchor="_Toc351538504" w:history="1">
        <w:r w:rsidRPr="009343C8">
          <w:rPr>
            <w:rStyle w:val="Hiperveza"/>
            <w:rFonts w:ascii="Corbel" w:hAnsi="Corbel"/>
            <w:noProof/>
            <w:sz w:val="20"/>
          </w:rPr>
          <w:t>Slika 41.: Vlasnici aktivnih obrta prema spolu u ZŽ i RH</w:t>
        </w:r>
        <w:r w:rsidRPr="009343C8">
          <w:rPr>
            <w:rFonts w:ascii="Corbel" w:hAnsi="Corbel"/>
            <w:noProof/>
            <w:webHidden/>
            <w:sz w:val="20"/>
          </w:rPr>
          <w:tab/>
        </w:r>
        <w:r w:rsidRPr="009343C8">
          <w:rPr>
            <w:rFonts w:ascii="Corbel" w:hAnsi="Corbel"/>
            <w:noProof/>
            <w:webHidden/>
            <w:sz w:val="20"/>
          </w:rPr>
          <w:fldChar w:fldCharType="begin"/>
        </w:r>
        <w:r w:rsidRPr="009343C8">
          <w:rPr>
            <w:rFonts w:ascii="Corbel" w:hAnsi="Corbel"/>
            <w:noProof/>
            <w:webHidden/>
            <w:sz w:val="20"/>
          </w:rPr>
          <w:instrText xml:space="preserve"> PAGEREF _Toc351538504 \h </w:instrText>
        </w:r>
        <w:r w:rsidRPr="009343C8">
          <w:rPr>
            <w:rFonts w:ascii="Corbel" w:hAnsi="Corbel"/>
            <w:noProof/>
            <w:webHidden/>
            <w:sz w:val="20"/>
          </w:rPr>
        </w:r>
        <w:r w:rsidRPr="009343C8">
          <w:rPr>
            <w:rFonts w:ascii="Corbel" w:hAnsi="Corbel"/>
            <w:noProof/>
            <w:webHidden/>
            <w:sz w:val="20"/>
          </w:rPr>
          <w:fldChar w:fldCharType="separate"/>
        </w:r>
        <w:r w:rsidRPr="009343C8">
          <w:rPr>
            <w:rFonts w:ascii="Corbel" w:hAnsi="Corbel"/>
            <w:noProof/>
            <w:webHidden/>
            <w:sz w:val="20"/>
          </w:rPr>
          <w:t>51</w:t>
        </w:r>
        <w:r w:rsidRPr="009343C8">
          <w:rPr>
            <w:rFonts w:ascii="Corbel" w:hAnsi="Corbel"/>
            <w:noProof/>
            <w:webHidden/>
            <w:sz w:val="20"/>
          </w:rPr>
          <w:fldChar w:fldCharType="end"/>
        </w:r>
      </w:hyperlink>
    </w:p>
    <w:p w:rsidR="009343C8" w:rsidRDefault="009343C8" w:rsidP="003D0416">
      <w:pPr>
        <w:jc w:val="both"/>
        <w:rPr>
          <w:rFonts w:ascii="Times New Roman" w:hAnsi="Times New Roman" w:cs="Arial"/>
          <w:b/>
          <w:sz w:val="28"/>
        </w:rPr>
      </w:pPr>
      <w:r w:rsidRPr="009343C8">
        <w:rPr>
          <w:rFonts w:ascii="Corbel" w:hAnsi="Corbel" w:cs="Arial"/>
          <w:b/>
          <w:sz w:val="24"/>
        </w:rPr>
        <w:fldChar w:fldCharType="end"/>
      </w:r>
    </w:p>
    <w:sectPr w:rsidR="009343C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358D" w:rsidRDefault="006E358D" w:rsidP="00496922">
      <w:pPr>
        <w:spacing w:after="0" w:line="240" w:lineRule="auto"/>
      </w:pPr>
      <w:r>
        <w:separator/>
      </w:r>
    </w:p>
  </w:endnote>
  <w:endnote w:type="continuationSeparator" w:id="0">
    <w:p w:rsidR="006E358D" w:rsidRDefault="006E358D" w:rsidP="00496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10002FF" w:usb1="4000FCFF" w:usb2="00000009" w:usb3="00000000" w:csb0="0000019F"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Corbel">
    <w:panose1 w:val="020B0503020204020204"/>
    <w:charset w:val="EE"/>
    <w:family w:val="swiss"/>
    <w:pitch w:val="variable"/>
    <w:sig w:usb0="A00002EF" w:usb1="4000A44B" w:usb2="00000000" w:usb3="00000000" w:csb0="0000019F" w:csb1="00000000"/>
  </w:font>
  <w:font w:name="Times">
    <w:panose1 w:val="02020603050405020304"/>
    <w:charset w:val="EE"/>
    <w:family w:val="roman"/>
    <w:pitch w:val="variable"/>
    <w:sig w:usb0="E0002AFF" w:usb1="C0007841"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358D" w:rsidRDefault="006E358D" w:rsidP="00496922">
      <w:pPr>
        <w:spacing w:after="0" w:line="240" w:lineRule="auto"/>
      </w:pPr>
      <w:r>
        <w:separator/>
      </w:r>
    </w:p>
  </w:footnote>
  <w:footnote w:type="continuationSeparator" w:id="0">
    <w:p w:rsidR="006E358D" w:rsidRDefault="006E358D" w:rsidP="00496922">
      <w:pPr>
        <w:spacing w:after="0" w:line="240" w:lineRule="auto"/>
      </w:pPr>
      <w:r>
        <w:continuationSeparator/>
      </w:r>
    </w:p>
  </w:footnote>
  <w:footnote w:id="1">
    <w:p w:rsidR="00E16746" w:rsidRPr="00B56C85" w:rsidRDefault="00E16746" w:rsidP="00496922">
      <w:pPr>
        <w:pStyle w:val="Tekstfusnote"/>
        <w:jc w:val="both"/>
        <w:rPr>
          <w:rFonts w:ascii="Corbel" w:hAnsi="Corbel" w:cs="Times New Roman"/>
          <w:sz w:val="18"/>
        </w:rPr>
      </w:pPr>
      <w:r>
        <w:rPr>
          <w:rStyle w:val="Referencafusnote"/>
        </w:rPr>
        <w:footnoteRef/>
      </w:r>
      <w:r>
        <w:t xml:space="preserve"> </w:t>
      </w:r>
      <w:r w:rsidRPr="00B56C85">
        <w:rPr>
          <w:rFonts w:ascii="Corbel" w:hAnsi="Corbel" w:cs="Times New Roman"/>
          <w:sz w:val="18"/>
        </w:rPr>
        <w:t>Djelatnostima slobodnih zanimanja osobito se smatraju:</w:t>
      </w:r>
    </w:p>
    <w:p w:rsidR="00E16746" w:rsidRPr="00B56C85" w:rsidRDefault="00E16746">
      <w:pPr>
        <w:pStyle w:val="Tekstfusnote"/>
        <w:rPr>
          <w:rFonts w:ascii="Corbel" w:hAnsi="Corbel" w:cs="Times New Roman"/>
          <w:sz w:val="18"/>
        </w:rPr>
      </w:pPr>
      <w:r w:rsidRPr="00B56C85">
        <w:rPr>
          <w:rFonts w:ascii="Corbel" w:hAnsi="Corbel" w:cs="Times New Roman"/>
          <w:sz w:val="18"/>
        </w:rPr>
        <w:t>1. samostalna djelatnost zdravstvenih djelatnika, veterinara, odvjetnika, javnih bilježnika, revizora, inženjera, arhitekata, poreznih savjetnika, stečajnih upravitelja, tumača, prevoditelja, turističkih djelatnika i druge slične djelatnosti,</w:t>
      </w:r>
    </w:p>
    <w:p w:rsidR="00E16746" w:rsidRPr="00B56C85" w:rsidRDefault="00E16746">
      <w:pPr>
        <w:pStyle w:val="Tekstfusnote"/>
        <w:rPr>
          <w:rFonts w:ascii="Corbel" w:hAnsi="Corbel" w:cs="Times New Roman"/>
          <w:sz w:val="18"/>
        </w:rPr>
      </w:pPr>
      <w:r w:rsidRPr="00B56C85">
        <w:rPr>
          <w:rFonts w:ascii="Corbel" w:hAnsi="Corbel" w:cs="Times New Roman"/>
          <w:sz w:val="18"/>
        </w:rPr>
        <w:t>2. samostalna djelatnost znanstvenika, književnika, izumitelja i druge slične djelatnosti,</w:t>
      </w:r>
    </w:p>
    <w:p w:rsidR="00E16746" w:rsidRPr="00B56C85" w:rsidRDefault="00E16746">
      <w:pPr>
        <w:pStyle w:val="Tekstfusnote"/>
        <w:rPr>
          <w:rFonts w:ascii="Corbel" w:hAnsi="Corbel" w:cs="Times New Roman"/>
          <w:sz w:val="18"/>
        </w:rPr>
      </w:pPr>
      <w:r w:rsidRPr="00B56C85">
        <w:rPr>
          <w:rFonts w:ascii="Corbel" w:hAnsi="Corbel" w:cs="Times New Roman"/>
          <w:sz w:val="18"/>
        </w:rPr>
        <w:t>3. samostalna predavačka djelatnost, odgojna djelatnost i druge slične djelatnosti,</w:t>
      </w:r>
    </w:p>
    <w:p w:rsidR="00E16746" w:rsidRPr="00B56C85" w:rsidRDefault="00E16746">
      <w:pPr>
        <w:pStyle w:val="Tekstfusnote"/>
        <w:rPr>
          <w:rFonts w:ascii="Corbel" w:hAnsi="Corbel" w:cs="Times New Roman"/>
          <w:sz w:val="18"/>
        </w:rPr>
      </w:pPr>
      <w:r w:rsidRPr="00B56C85">
        <w:rPr>
          <w:rFonts w:ascii="Corbel" w:hAnsi="Corbel" w:cs="Times New Roman"/>
          <w:sz w:val="18"/>
        </w:rPr>
        <w:t>4. samostalna djelatnost novinara, umjetnika i športaša.</w:t>
      </w:r>
    </w:p>
  </w:footnote>
  <w:footnote w:id="2">
    <w:p w:rsidR="00E16746" w:rsidRPr="005E2C22" w:rsidRDefault="00E16746">
      <w:pPr>
        <w:pStyle w:val="Tekstfusnote"/>
        <w:rPr>
          <w:rFonts w:ascii="Times New Roman" w:hAnsi="Times New Roman" w:cs="Times New Roman"/>
          <w:sz w:val="18"/>
        </w:rPr>
      </w:pPr>
      <w:r>
        <w:rPr>
          <w:rStyle w:val="Referencafusnote"/>
        </w:rPr>
        <w:footnoteRef/>
      </w:r>
      <w:r>
        <w:t xml:space="preserve"> </w:t>
      </w:r>
      <w:r w:rsidRPr="005E2C22">
        <w:rPr>
          <w:rFonts w:ascii="Times New Roman" w:hAnsi="Times New Roman" w:cs="Times New Roman"/>
          <w:sz w:val="18"/>
        </w:rPr>
        <w:t>Stopu nezaposlenosti računamo kao omjer nezaposlenost/(zaposlenost + nezaposlenost). U izračunu su za broj zaposlenih uzeti podaci HZMO-a kojima se pribrojio broj nezaposlenih prema podacima HZZ-a</w:t>
      </w:r>
      <w:r>
        <w:rPr>
          <w:rFonts w:ascii="Times New Roman" w:hAnsi="Times New Roman" w:cs="Times New Roman"/>
          <w:sz w:val="18"/>
        </w:rPr>
        <w:t>.</w:t>
      </w:r>
    </w:p>
  </w:footnote>
  <w:footnote w:id="3">
    <w:p w:rsidR="00E16746" w:rsidRPr="00A01004" w:rsidRDefault="00E16746" w:rsidP="0079438E">
      <w:pPr>
        <w:pStyle w:val="Tekstfusnote"/>
        <w:jc w:val="both"/>
        <w:rPr>
          <w:rFonts w:ascii="Times New Roman" w:hAnsi="Times New Roman" w:cs="Times New Roman"/>
          <w:sz w:val="18"/>
        </w:rPr>
      </w:pPr>
      <w:r>
        <w:rPr>
          <w:rStyle w:val="Referencafusnote"/>
        </w:rPr>
        <w:footnoteRef/>
      </w:r>
      <w:r>
        <w:t xml:space="preserve"> </w:t>
      </w:r>
      <w:r w:rsidRPr="00A01004">
        <w:rPr>
          <w:rFonts w:ascii="Times New Roman" w:hAnsi="Times New Roman" w:cs="Times New Roman"/>
          <w:sz w:val="18"/>
        </w:rPr>
        <w:t>Prema podacima DZS-a u Zadarskoj županiji je 2011.godine evidentirano 44.727 zaposlenih, dok je u Zadru prema podacima HZMO-a evidentirano 33.579 zaposlenih. Treba imati na umu da su podaci o broju zaposlenih nešto niži prema izvoru DZS, nego prema HZMO, tako da se radi samo o procjeni. To s druge strane ne umanjuje vrijednost procjene iz koje je vidljiv veliki udjel broja zaposlenih</w:t>
      </w:r>
      <w:r>
        <w:rPr>
          <w:rFonts w:ascii="Times New Roman" w:hAnsi="Times New Roman" w:cs="Times New Roman"/>
          <w:sz w:val="18"/>
        </w:rPr>
        <w:t xml:space="preserve"> iz grada Zadra u  Zadarskoj županiji</w:t>
      </w:r>
      <w:r w:rsidRPr="00A01004">
        <w:rPr>
          <w:rFonts w:ascii="Times New Roman" w:hAnsi="Times New Roman" w:cs="Times New Roman"/>
          <w:sz w:val="18"/>
        </w:rPr>
        <w:t>.</w:t>
      </w:r>
    </w:p>
  </w:footnote>
  <w:footnote w:id="4">
    <w:p w:rsidR="00E16746" w:rsidRPr="00096903" w:rsidRDefault="00E16746" w:rsidP="00096903">
      <w:pPr>
        <w:pStyle w:val="Tekstfusnote"/>
        <w:jc w:val="both"/>
        <w:rPr>
          <w:rFonts w:ascii="Times New Roman" w:hAnsi="Times New Roman" w:cs="Times New Roman"/>
          <w:sz w:val="18"/>
        </w:rPr>
      </w:pPr>
      <w:r>
        <w:rPr>
          <w:rStyle w:val="Referencafusnote"/>
        </w:rPr>
        <w:footnoteRef/>
      </w:r>
      <w:r>
        <w:t xml:space="preserve"> </w:t>
      </w:r>
      <w:r w:rsidRPr="00096903">
        <w:rPr>
          <w:rFonts w:ascii="Times New Roman" w:hAnsi="Times New Roman" w:cs="Times New Roman"/>
          <w:sz w:val="18"/>
        </w:rPr>
        <w:t>U Zadarskoj županiji u djelatnosti D „Opskrba električnom energijom, plinom, parom i klimatizacija“</w:t>
      </w:r>
      <w:r w:rsidRPr="00096903">
        <w:rPr>
          <w:rFonts w:ascii="Times New Roman" w:hAnsi="Times New Roman" w:cs="Times New Roman"/>
          <w:bCs/>
          <w:sz w:val="18"/>
        </w:rPr>
        <w:t xml:space="preserve"> (proizvodnja, opskrba, savjetovanje itd.)</w:t>
      </w:r>
      <w:r w:rsidRPr="00096903">
        <w:rPr>
          <w:rFonts w:ascii="Times New Roman" w:hAnsi="Times New Roman" w:cs="Times New Roman"/>
          <w:sz w:val="18"/>
        </w:rPr>
        <w:t xml:space="preserve"> djeluju </w:t>
      </w:r>
      <w:r w:rsidRPr="00096903">
        <w:rPr>
          <w:rFonts w:ascii="Times New Roman" w:hAnsi="Times New Roman" w:cs="Times New Roman"/>
          <w:bCs/>
          <w:sz w:val="18"/>
        </w:rPr>
        <w:t xml:space="preserve">poduzeća koja se bave pretežno obnovljivim izvorima energije (solarna energija, </w:t>
      </w:r>
      <w:proofErr w:type="spellStart"/>
      <w:r w:rsidRPr="00096903">
        <w:rPr>
          <w:rFonts w:ascii="Times New Roman" w:hAnsi="Times New Roman" w:cs="Times New Roman"/>
          <w:bCs/>
          <w:sz w:val="18"/>
        </w:rPr>
        <w:t>vjetroelektrane</w:t>
      </w:r>
      <w:proofErr w:type="spellEnd"/>
      <w:r w:rsidRPr="00096903">
        <w:rPr>
          <w:rFonts w:ascii="Times New Roman" w:hAnsi="Times New Roman" w:cs="Times New Roman"/>
          <w:bCs/>
          <w:sz w:val="18"/>
        </w:rPr>
        <w:t>, itd.), te instalacijom grijanja i klimatizacije</w:t>
      </w:r>
      <w:r>
        <w:rPr>
          <w:rFonts w:ascii="Times New Roman" w:hAnsi="Times New Roman" w:cs="Times New Roman"/>
          <w:bCs/>
          <w:sz w:val="18"/>
        </w:rPr>
        <w:t>.</w:t>
      </w:r>
    </w:p>
  </w:footnote>
  <w:footnote w:id="5">
    <w:p w:rsidR="00E16746" w:rsidRPr="00096903" w:rsidRDefault="00E16746" w:rsidP="00096903">
      <w:pPr>
        <w:pStyle w:val="Tekstfusnote"/>
        <w:rPr>
          <w:rFonts w:ascii="Times New Roman" w:hAnsi="Times New Roman" w:cs="Times New Roman"/>
          <w:bCs/>
          <w:sz w:val="18"/>
        </w:rPr>
      </w:pPr>
      <w:r>
        <w:rPr>
          <w:rStyle w:val="Referencafusnote"/>
        </w:rPr>
        <w:footnoteRef/>
      </w:r>
      <w:r>
        <w:t xml:space="preserve"> </w:t>
      </w:r>
      <w:r w:rsidRPr="00096903">
        <w:rPr>
          <w:rFonts w:ascii="Times New Roman" w:hAnsi="Times New Roman" w:cs="Times New Roman"/>
          <w:bCs/>
          <w:sz w:val="18"/>
        </w:rPr>
        <w:t xml:space="preserve">Djelatnost </w:t>
      </w:r>
      <w:r>
        <w:rPr>
          <w:rFonts w:ascii="Times New Roman" w:hAnsi="Times New Roman" w:cs="Times New Roman"/>
          <w:bCs/>
          <w:sz w:val="18"/>
        </w:rPr>
        <w:t>„</w:t>
      </w:r>
      <w:r w:rsidRPr="00096903">
        <w:rPr>
          <w:rFonts w:ascii="Times New Roman" w:hAnsi="Times New Roman" w:cs="Times New Roman"/>
          <w:bCs/>
          <w:sz w:val="18"/>
        </w:rPr>
        <w:t>Prijevoz i skladištenje</w:t>
      </w:r>
      <w:r>
        <w:rPr>
          <w:rFonts w:ascii="Times New Roman" w:hAnsi="Times New Roman" w:cs="Times New Roman"/>
          <w:bCs/>
          <w:sz w:val="18"/>
        </w:rPr>
        <w:t>“ uključuje k</w:t>
      </w:r>
      <w:r w:rsidRPr="00096903">
        <w:rPr>
          <w:rFonts w:ascii="Times New Roman" w:hAnsi="Times New Roman" w:cs="Times New Roman"/>
          <w:bCs/>
          <w:sz w:val="18"/>
        </w:rPr>
        <w:t>opneni prijevoz i cjevovodni transport, vodeni i zr</w:t>
      </w:r>
      <w:r>
        <w:rPr>
          <w:rFonts w:ascii="Times New Roman" w:hAnsi="Times New Roman" w:cs="Times New Roman"/>
          <w:bCs/>
          <w:sz w:val="18"/>
        </w:rPr>
        <w:t>ačni prijevoz, te skladištenje u</w:t>
      </w:r>
      <w:r w:rsidRPr="00096903">
        <w:rPr>
          <w:rFonts w:ascii="Times New Roman" w:hAnsi="Times New Roman" w:cs="Times New Roman"/>
          <w:bCs/>
          <w:sz w:val="18"/>
        </w:rPr>
        <w:t xml:space="preserve"> prijevozu i kurirsku djelatnost</w:t>
      </w:r>
      <w:r>
        <w:rPr>
          <w:rFonts w:ascii="Times New Roman" w:hAnsi="Times New Roman" w:cs="Times New Roman"/>
          <w:bCs/>
          <w:sz w:val="18"/>
        </w:rPr>
        <w:t>.</w:t>
      </w:r>
    </w:p>
    <w:p w:rsidR="00E16746" w:rsidRDefault="00E16746">
      <w:pPr>
        <w:pStyle w:val="Tekstfusnote"/>
      </w:pPr>
    </w:p>
  </w:footnote>
  <w:footnote w:id="6">
    <w:p w:rsidR="00E16746" w:rsidRDefault="00E16746">
      <w:pPr>
        <w:pStyle w:val="Tekstfusnote"/>
      </w:pPr>
      <w:r>
        <w:rPr>
          <w:rStyle w:val="Referencafusnote"/>
        </w:rPr>
        <w:footnoteRef/>
      </w:r>
      <w:r>
        <w:t xml:space="preserve"> </w:t>
      </w:r>
      <w:r w:rsidRPr="001B4008">
        <w:rPr>
          <w:rFonts w:ascii="Times New Roman" w:hAnsi="Times New Roman" w:cs="Times New Roman"/>
          <w:sz w:val="18"/>
        </w:rPr>
        <w:t>Djelatnosti O, P i Q se mogu okarakterizirati kao djelatnosti pretežito javnog karaktera, no to nisu jedi</w:t>
      </w:r>
      <w:r>
        <w:rPr>
          <w:rFonts w:ascii="Times New Roman" w:hAnsi="Times New Roman" w:cs="Times New Roman"/>
          <w:sz w:val="18"/>
        </w:rPr>
        <w:t xml:space="preserve">ne djelatnosti u kojima djeluju </w:t>
      </w:r>
      <w:r w:rsidRPr="001B4008">
        <w:rPr>
          <w:rFonts w:ascii="Times New Roman" w:hAnsi="Times New Roman" w:cs="Times New Roman"/>
          <w:sz w:val="18"/>
        </w:rPr>
        <w:t>ustanove ili tvrtke, a kojima je vlasnik država. Tako da je udio zaposlenih u javnom sektoru najmanje 30 % ukupno zaposlenih u gospodarstvu grada Zadra.</w:t>
      </w:r>
    </w:p>
  </w:footnote>
  <w:footnote w:id="7">
    <w:p w:rsidR="00E16746" w:rsidRPr="00302167" w:rsidRDefault="00E16746" w:rsidP="000A0A74">
      <w:pPr>
        <w:pStyle w:val="Tekstfusnote"/>
        <w:rPr>
          <w:rFonts w:ascii="Corbel" w:hAnsi="Corbel" w:cs="Times New Roman"/>
          <w:sz w:val="18"/>
        </w:rPr>
      </w:pPr>
      <w:r w:rsidRPr="005E61E6">
        <w:rPr>
          <w:rStyle w:val="Referencafusnote"/>
          <w:sz w:val="18"/>
        </w:rPr>
        <w:footnoteRef/>
      </w:r>
      <w:r>
        <w:rPr>
          <w:sz w:val="18"/>
        </w:rPr>
        <w:t xml:space="preserve"> </w:t>
      </w:r>
      <w:r w:rsidRPr="00302167">
        <w:rPr>
          <w:rFonts w:ascii="Corbel" w:hAnsi="Corbel" w:cs="Times New Roman"/>
          <w:sz w:val="18"/>
        </w:rPr>
        <w:t>Najčešće se tu radi o gradu, regiji ili državi itd.</w:t>
      </w:r>
    </w:p>
  </w:footnote>
  <w:footnote w:id="8">
    <w:p w:rsidR="00E16746" w:rsidRPr="00157658" w:rsidRDefault="00E16746">
      <w:pPr>
        <w:pStyle w:val="Tekstfusnote"/>
        <w:rPr>
          <w:rFonts w:ascii="Times New Roman" w:hAnsi="Times New Roman" w:cs="Times New Roman"/>
        </w:rPr>
      </w:pPr>
      <w:r>
        <w:rPr>
          <w:rStyle w:val="Referencafusnote"/>
        </w:rPr>
        <w:footnoteRef/>
      </w:r>
      <w:r>
        <w:t xml:space="preserve"> </w:t>
      </w:r>
      <w:r w:rsidRPr="003D0416">
        <w:rPr>
          <w:rFonts w:ascii="Times New Roman" w:hAnsi="Times New Roman" w:cs="Times New Roman"/>
          <w:sz w:val="18"/>
        </w:rPr>
        <w:t>Od poslovnih subjekata u ovom sektoru</w:t>
      </w:r>
      <w:r>
        <w:rPr>
          <w:rFonts w:ascii="Times New Roman" w:hAnsi="Times New Roman" w:cs="Times New Roman"/>
          <w:sz w:val="18"/>
        </w:rPr>
        <w:t xml:space="preserve"> prednjače</w:t>
      </w:r>
      <w:r w:rsidRPr="003D0416">
        <w:rPr>
          <w:rFonts w:ascii="Times New Roman" w:hAnsi="Times New Roman" w:cs="Times New Roman"/>
          <w:sz w:val="18"/>
        </w:rPr>
        <w:t xml:space="preserve"> javna komunalna </w:t>
      </w:r>
      <w:r>
        <w:rPr>
          <w:rFonts w:ascii="Times New Roman" w:hAnsi="Times New Roman" w:cs="Times New Roman"/>
          <w:sz w:val="18"/>
        </w:rPr>
        <w:t>poduzeća</w:t>
      </w:r>
      <w:r w:rsidRPr="003D0416">
        <w:rPr>
          <w:rFonts w:ascii="Times New Roman" w:hAnsi="Times New Roman" w:cs="Times New Roman"/>
          <w:sz w:val="18"/>
        </w:rPr>
        <w:t xml:space="preserve"> </w:t>
      </w:r>
      <w:r>
        <w:rPr>
          <w:rFonts w:ascii="Times New Roman" w:hAnsi="Times New Roman" w:cs="Times New Roman"/>
          <w:sz w:val="18"/>
        </w:rPr>
        <w:t xml:space="preserve">Vodovod d.o.o., Odvodnja d.o.o., Čistoća </w:t>
      </w:r>
      <w:proofErr w:type="spellStart"/>
      <w:r>
        <w:rPr>
          <w:rFonts w:ascii="Times New Roman" w:hAnsi="Times New Roman" w:cs="Times New Roman"/>
          <w:sz w:val="18"/>
        </w:rPr>
        <w:t>idr</w:t>
      </w:r>
      <w:proofErr w:type="spellEnd"/>
      <w:r>
        <w:rPr>
          <w:rFonts w:ascii="Times New Roman" w:hAnsi="Times New Roman" w:cs="Times New Roman"/>
          <w:sz w:val="18"/>
        </w:rPr>
        <w:t>.</w:t>
      </w:r>
    </w:p>
  </w:footnote>
  <w:footnote w:id="9">
    <w:p w:rsidR="00E16746" w:rsidRPr="006C4B11" w:rsidRDefault="00E16746">
      <w:pPr>
        <w:pStyle w:val="Tekstfusnote"/>
        <w:rPr>
          <w:rFonts w:ascii="Times New Roman" w:hAnsi="Times New Roman" w:cs="Times New Roman"/>
          <w:sz w:val="18"/>
        </w:rPr>
      </w:pPr>
      <w:r>
        <w:rPr>
          <w:rStyle w:val="Referencafusnote"/>
        </w:rPr>
        <w:footnoteRef/>
      </w:r>
      <w:r>
        <w:t xml:space="preserve"> </w:t>
      </w:r>
      <w:r w:rsidRPr="006C4B11">
        <w:rPr>
          <w:rFonts w:ascii="Times New Roman" w:hAnsi="Times New Roman" w:cs="Times New Roman"/>
          <w:sz w:val="18"/>
        </w:rPr>
        <w:t>Ovdje spadaju organizacije tipa HNK, Kazalište lutaka, Narodni muzej, Javne ustanove u kulturi i prirodi, Knjižnice, te razne udruge koje se ne mogu okarakterizirati kao javni sektor, no koje uvelike ovise o proračunu grada</w:t>
      </w:r>
    </w:p>
  </w:footnote>
  <w:footnote w:id="10">
    <w:p w:rsidR="00E16746" w:rsidRPr="003D2357" w:rsidRDefault="00E16746" w:rsidP="00072453">
      <w:pPr>
        <w:pStyle w:val="Tekstfusnote"/>
        <w:jc w:val="both"/>
        <w:rPr>
          <w:rFonts w:ascii="Times New Roman" w:hAnsi="Times New Roman" w:cs="Times New Roman"/>
          <w:sz w:val="18"/>
        </w:rPr>
      </w:pPr>
      <w:r>
        <w:rPr>
          <w:rStyle w:val="Referencafusnote"/>
        </w:rPr>
        <w:footnoteRef/>
      </w:r>
      <w:r>
        <w:t xml:space="preserve"> </w:t>
      </w:r>
      <w:r w:rsidRPr="006D4186">
        <w:rPr>
          <w:rFonts w:ascii="Times New Roman" w:hAnsi="Times New Roman" w:cs="Times New Roman"/>
          <w:sz w:val="18"/>
        </w:rPr>
        <w:t xml:space="preserve">Na području Zadarske županije aktivno je </w:t>
      </w:r>
      <w:r w:rsidRPr="006D4186">
        <w:rPr>
          <w:rFonts w:ascii="Times New Roman" w:hAnsi="Times New Roman" w:cs="Times New Roman"/>
          <w:b/>
          <w:bCs/>
          <w:sz w:val="18"/>
        </w:rPr>
        <w:t xml:space="preserve">368 poslovnih subjekata </w:t>
      </w:r>
      <w:r w:rsidRPr="006D4186">
        <w:rPr>
          <w:rFonts w:ascii="Times New Roman" w:hAnsi="Times New Roman" w:cs="Times New Roman"/>
          <w:sz w:val="18"/>
        </w:rPr>
        <w:t xml:space="preserve">- koji za osnovnu djelatnost po NKD–u imaju </w:t>
      </w:r>
      <w:r w:rsidRPr="006D4186">
        <w:rPr>
          <w:rFonts w:ascii="Times New Roman" w:hAnsi="Times New Roman" w:cs="Times New Roman"/>
          <w:i/>
          <w:iCs/>
          <w:sz w:val="18"/>
        </w:rPr>
        <w:t xml:space="preserve">Ribarstvo i uzgoj riba </w:t>
      </w:r>
      <w:r w:rsidRPr="003D2357">
        <w:rPr>
          <w:rFonts w:ascii="Times New Roman" w:hAnsi="Times New Roman" w:cs="Times New Roman"/>
          <w:i/>
          <w:iCs/>
          <w:sz w:val="18"/>
        </w:rPr>
        <w:t>ili usluge povezane s njima (</w:t>
      </w:r>
      <w:proofErr w:type="spellStart"/>
      <w:r w:rsidRPr="003D2357">
        <w:rPr>
          <w:rFonts w:ascii="Times New Roman" w:hAnsi="Times New Roman" w:cs="Times New Roman"/>
          <w:i/>
          <w:iCs/>
          <w:sz w:val="18"/>
        </w:rPr>
        <w:t>Poslovna.hr</w:t>
      </w:r>
      <w:proofErr w:type="spellEnd"/>
      <w:r w:rsidRPr="003D2357">
        <w:rPr>
          <w:rFonts w:ascii="Times New Roman" w:hAnsi="Times New Roman" w:cs="Times New Roman"/>
          <w:i/>
          <w:iCs/>
          <w:sz w:val="18"/>
        </w:rPr>
        <w:t>, 2012</w:t>
      </w:r>
      <w:r w:rsidRPr="003D2357">
        <w:rPr>
          <w:rFonts w:ascii="Times New Roman" w:hAnsi="Times New Roman" w:cs="Times New Roman"/>
          <w:sz w:val="18"/>
        </w:rPr>
        <w:t>). Bitno je naznačiti da od ukupno 368 subjekata, njih 67 ima sjedište u samom gradu Zadru, dok preostalih 301 imaju sjedište na ruralnom području Zadarske županije</w:t>
      </w:r>
    </w:p>
  </w:footnote>
  <w:footnote w:id="11">
    <w:p w:rsidR="00E16746" w:rsidRPr="003D2357" w:rsidRDefault="00E16746" w:rsidP="00072453">
      <w:pPr>
        <w:pStyle w:val="Tekstfusnote"/>
        <w:rPr>
          <w:rFonts w:ascii="Times New Roman" w:hAnsi="Times New Roman" w:cs="Times New Roman"/>
          <w:sz w:val="18"/>
        </w:rPr>
      </w:pPr>
      <w:r w:rsidRPr="003D2357">
        <w:rPr>
          <w:rStyle w:val="Referencafusnote"/>
        </w:rPr>
        <w:footnoteRef/>
      </w:r>
      <w:r w:rsidRPr="003D2357">
        <w:t xml:space="preserve"> </w:t>
      </w:r>
      <w:r w:rsidRPr="003D2357">
        <w:rPr>
          <w:rFonts w:ascii="Times New Roman" w:hAnsi="Times New Roman" w:cs="Times New Roman"/>
          <w:sz w:val="18"/>
        </w:rPr>
        <w:t>Lokacijski kvocijent za djelatnost Ribarstva na razini županije iznosi 12,29!</w:t>
      </w:r>
    </w:p>
  </w:footnote>
  <w:footnote w:id="12">
    <w:p w:rsidR="00E16746" w:rsidRPr="00935C87" w:rsidRDefault="00E16746">
      <w:pPr>
        <w:pStyle w:val="Tekstfusnote"/>
        <w:rPr>
          <w:rFonts w:ascii="Times New Roman" w:hAnsi="Times New Roman" w:cs="Times New Roman"/>
          <w:sz w:val="18"/>
        </w:rPr>
      </w:pPr>
      <w:r w:rsidRPr="003D2357">
        <w:rPr>
          <w:rStyle w:val="Referencafusnote"/>
        </w:rPr>
        <w:footnoteRef/>
      </w:r>
      <w:r w:rsidRPr="003D2357">
        <w:t xml:space="preserve"> </w:t>
      </w:r>
      <w:r w:rsidRPr="003D2357">
        <w:rPr>
          <w:rFonts w:ascii="Times New Roman" w:hAnsi="Times New Roman" w:cs="Times New Roman"/>
          <w:sz w:val="18"/>
        </w:rPr>
        <w:t>Gradovima „gubitnicima“ smatraju se gradovi kojima nije rastao broj</w:t>
      </w:r>
      <w:r w:rsidRPr="00935C87">
        <w:rPr>
          <w:rFonts w:ascii="Times New Roman" w:hAnsi="Times New Roman" w:cs="Times New Roman"/>
          <w:sz w:val="18"/>
        </w:rPr>
        <w:t xml:space="preserve"> stanovnika i kojima je zaposlenost brže opadala od prosjeka</w:t>
      </w:r>
    </w:p>
  </w:footnote>
  <w:footnote w:id="13">
    <w:p w:rsidR="00E16746" w:rsidRDefault="00E16746">
      <w:pPr>
        <w:pStyle w:val="Tekstfusnote"/>
      </w:pPr>
      <w:r>
        <w:rPr>
          <w:rStyle w:val="Referencafusnote"/>
        </w:rPr>
        <w:footnoteRef/>
      </w:r>
      <w:r>
        <w:t xml:space="preserve"> Ovdje spadaju poslovni subjekti sektora K poput pravnika, javnih bilježnika, </w:t>
      </w:r>
      <w:proofErr w:type="spellStart"/>
      <w:r>
        <w:t>arhiteksta</w:t>
      </w:r>
      <w:proofErr w:type="spellEnd"/>
      <w:r>
        <w:t xml:space="preserve"> i inženjera, </w:t>
      </w:r>
      <w:proofErr w:type="spellStart"/>
      <w:r>
        <w:t>knjigovoža</w:t>
      </w:r>
      <w:proofErr w:type="spellEnd"/>
      <w:r>
        <w:t xml:space="preserve">, zatim iznajmljivača (posebno </w:t>
      </w:r>
      <w:proofErr w:type="spellStart"/>
      <w:r>
        <w:t>charteri</w:t>
      </w:r>
      <w:proofErr w:type="spellEnd"/>
      <w:r>
        <w:t>) i agencije za poslovanje nekretninama</w:t>
      </w:r>
    </w:p>
  </w:footnote>
  <w:footnote w:id="14">
    <w:p w:rsidR="00E16746" w:rsidRDefault="00E16746" w:rsidP="00412AD8">
      <w:pPr>
        <w:pStyle w:val="Tekstfusnote"/>
      </w:pPr>
      <w:r>
        <w:rPr>
          <w:rStyle w:val="Referencafusnote"/>
        </w:rPr>
        <w:footnoteRef/>
      </w:r>
      <w:r>
        <w:t xml:space="preserve"> Nekim sektorima se broj zaposlenih smanjio. Zato je porast zaposlenosti „rastućih“ djelatnosti veći od ukupnog porasta broja zaposlenih za sve </w:t>
      </w:r>
      <w:proofErr w:type="spellStart"/>
      <w:r>
        <w:t>djelantosti</w:t>
      </w:r>
      <w:proofErr w:type="spellEnd"/>
      <w:r>
        <w:t>.</w:t>
      </w:r>
    </w:p>
  </w:footnote>
  <w:footnote w:id="15">
    <w:p w:rsidR="00E16746" w:rsidRDefault="00E16746">
      <w:pPr>
        <w:pStyle w:val="Tekstfusnote"/>
      </w:pPr>
      <w:r>
        <w:rPr>
          <w:rStyle w:val="Referencafusnote"/>
        </w:rPr>
        <w:footnoteRef/>
      </w:r>
      <w:r>
        <w:t xml:space="preserve"> Podatak DZS-a o padu broja zaposlenih u djelatnosti „I“ treba uzeti s rezervom, jer podaci FINA-e pokazuju značajan rast kroz cijelo desetogodišnje razdoblje od 2001.-2011., pa čak i u razdoblju gospodarske krize, što se za podatke o drugim djelatnostima ne može reći.</w:t>
      </w:r>
    </w:p>
  </w:footnote>
  <w:footnote w:id="16">
    <w:p w:rsidR="00E16746" w:rsidRDefault="00E16746" w:rsidP="00843DB0">
      <w:pPr>
        <w:pStyle w:val="Tekstfusnote"/>
        <w:jc w:val="both"/>
      </w:pPr>
      <w:r>
        <w:rPr>
          <w:rStyle w:val="Referencafusnote"/>
        </w:rPr>
        <w:footnoteRef/>
      </w:r>
      <w:r>
        <w:t xml:space="preserve"> </w:t>
      </w:r>
      <w:r w:rsidRPr="00843DB0">
        <w:rPr>
          <w:b/>
          <w:bCs/>
        </w:rPr>
        <w:t xml:space="preserve">Tradicijski obrti </w:t>
      </w:r>
      <w:r w:rsidRPr="00843DB0">
        <w:t xml:space="preserve">su obrti za koje je potrebno posebno poznavanje zanatskih vještina i umijeća u obavljanju djelatnosti te koji se obavljaju pretežnim udjelom ručnog rada, a koji se tehnikama proizvodnje i rada, namjenom i oblikom oslanjaju na obrasce tradicijske kulture, pa u tom smislu </w:t>
      </w:r>
      <w:r w:rsidRPr="00843DB0">
        <w:rPr>
          <w:b/>
        </w:rPr>
        <w:t>mogu simbolizirati lokalni, regionalni ili nacionalni identitet</w:t>
      </w:r>
      <w:r>
        <w:t>.</w:t>
      </w:r>
    </w:p>
  </w:footnote>
  <w:footnote w:id="17">
    <w:p w:rsidR="00E16746" w:rsidRPr="00D37350" w:rsidRDefault="00E16746" w:rsidP="00D37350">
      <w:pPr>
        <w:pStyle w:val="Tekstfusnote"/>
        <w:jc w:val="both"/>
        <w:rPr>
          <w:rFonts w:ascii="Times New Roman" w:hAnsi="Times New Roman" w:cs="Times New Roman"/>
          <w:sz w:val="18"/>
        </w:rPr>
      </w:pPr>
      <w:r>
        <w:rPr>
          <w:rStyle w:val="Referencafusnote"/>
        </w:rPr>
        <w:footnoteRef/>
      </w:r>
      <w:r>
        <w:t xml:space="preserve"> </w:t>
      </w:r>
      <w:r w:rsidRPr="00CE1369">
        <w:rPr>
          <w:rFonts w:ascii="Times New Roman" w:hAnsi="Times New Roman" w:cs="Times New Roman"/>
          <w:b/>
          <w:bCs/>
          <w:sz w:val="18"/>
        </w:rPr>
        <w:t xml:space="preserve">Obrtnik-osiguranik mirovinskog osiguranja </w:t>
      </w:r>
      <w:r w:rsidRPr="00CE1369">
        <w:rPr>
          <w:rFonts w:ascii="Times New Roman" w:hAnsi="Times New Roman" w:cs="Times New Roman"/>
          <w:sz w:val="18"/>
        </w:rPr>
        <w:t>je osoba koja ostvaruje dohodak isključivo bavljenjem obrtničke djelatnosti bez obzira na broj registriranih obrtničkih radnji i po toj osnovi placa doprinos za mirovinsko osiguranje. U obrtnike-osiguranike Mirovinskog osiguranja ne evidentiraju se obrtnici koji imaju otvoren obrt uz radni odnos i po kojoj su osnovi osiguran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715BB"/>
    <w:multiLevelType w:val="hybridMultilevel"/>
    <w:tmpl w:val="D0BC62E4"/>
    <w:lvl w:ilvl="0" w:tplc="7C02E16A">
      <w:start w:val="1"/>
      <w:numFmt w:val="bullet"/>
      <w:lvlText w:val=""/>
      <w:lvlJc w:val="left"/>
      <w:pPr>
        <w:ind w:left="720" w:hanging="360"/>
      </w:pPr>
      <w:rPr>
        <w:rFonts w:ascii="Symbol" w:hAnsi="Symbol" w:hint="default"/>
      </w:rPr>
    </w:lvl>
    <w:lvl w:ilvl="1" w:tplc="55B092AA" w:tentative="1">
      <w:start w:val="1"/>
      <w:numFmt w:val="bullet"/>
      <w:lvlText w:val="o"/>
      <w:lvlJc w:val="left"/>
      <w:pPr>
        <w:ind w:left="1440" w:hanging="360"/>
      </w:pPr>
      <w:rPr>
        <w:rFonts w:ascii="Courier New" w:hAnsi="Courier New" w:hint="default"/>
      </w:rPr>
    </w:lvl>
    <w:lvl w:ilvl="2" w:tplc="1BA04F52" w:tentative="1">
      <w:start w:val="1"/>
      <w:numFmt w:val="bullet"/>
      <w:lvlText w:val=""/>
      <w:lvlJc w:val="left"/>
      <w:pPr>
        <w:ind w:left="2160" w:hanging="360"/>
      </w:pPr>
      <w:rPr>
        <w:rFonts w:ascii="Wingdings" w:hAnsi="Wingdings" w:hint="default"/>
      </w:rPr>
    </w:lvl>
    <w:lvl w:ilvl="3" w:tplc="85CA3396" w:tentative="1">
      <w:start w:val="1"/>
      <w:numFmt w:val="bullet"/>
      <w:lvlText w:val=""/>
      <w:lvlJc w:val="left"/>
      <w:pPr>
        <w:ind w:left="2880" w:hanging="360"/>
      </w:pPr>
      <w:rPr>
        <w:rFonts w:ascii="Symbol" w:hAnsi="Symbol" w:hint="default"/>
      </w:rPr>
    </w:lvl>
    <w:lvl w:ilvl="4" w:tplc="7B447FB2" w:tentative="1">
      <w:start w:val="1"/>
      <w:numFmt w:val="bullet"/>
      <w:lvlText w:val="o"/>
      <w:lvlJc w:val="left"/>
      <w:pPr>
        <w:ind w:left="3600" w:hanging="360"/>
      </w:pPr>
      <w:rPr>
        <w:rFonts w:ascii="Courier New" w:hAnsi="Courier New" w:hint="default"/>
      </w:rPr>
    </w:lvl>
    <w:lvl w:ilvl="5" w:tplc="2EC228C8" w:tentative="1">
      <w:start w:val="1"/>
      <w:numFmt w:val="bullet"/>
      <w:lvlText w:val=""/>
      <w:lvlJc w:val="left"/>
      <w:pPr>
        <w:ind w:left="4320" w:hanging="360"/>
      </w:pPr>
      <w:rPr>
        <w:rFonts w:ascii="Wingdings" w:hAnsi="Wingdings" w:hint="default"/>
      </w:rPr>
    </w:lvl>
    <w:lvl w:ilvl="6" w:tplc="02C8281E" w:tentative="1">
      <w:start w:val="1"/>
      <w:numFmt w:val="bullet"/>
      <w:lvlText w:val=""/>
      <w:lvlJc w:val="left"/>
      <w:pPr>
        <w:ind w:left="5040" w:hanging="360"/>
      </w:pPr>
      <w:rPr>
        <w:rFonts w:ascii="Symbol" w:hAnsi="Symbol" w:hint="default"/>
      </w:rPr>
    </w:lvl>
    <w:lvl w:ilvl="7" w:tplc="8234734E" w:tentative="1">
      <w:start w:val="1"/>
      <w:numFmt w:val="bullet"/>
      <w:lvlText w:val="o"/>
      <w:lvlJc w:val="left"/>
      <w:pPr>
        <w:ind w:left="5760" w:hanging="360"/>
      </w:pPr>
      <w:rPr>
        <w:rFonts w:ascii="Courier New" w:hAnsi="Courier New" w:hint="default"/>
      </w:rPr>
    </w:lvl>
    <w:lvl w:ilvl="8" w:tplc="DF426FF8" w:tentative="1">
      <w:start w:val="1"/>
      <w:numFmt w:val="bullet"/>
      <w:lvlText w:val=""/>
      <w:lvlJc w:val="left"/>
      <w:pPr>
        <w:ind w:left="6480" w:hanging="360"/>
      </w:pPr>
      <w:rPr>
        <w:rFonts w:ascii="Wingdings" w:hAnsi="Wingdings" w:hint="default"/>
      </w:rPr>
    </w:lvl>
  </w:abstractNum>
  <w:abstractNum w:abstractNumId="1">
    <w:nsid w:val="09F068BC"/>
    <w:multiLevelType w:val="hybridMultilevel"/>
    <w:tmpl w:val="9B2ED33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0E8B1E13"/>
    <w:multiLevelType w:val="hybridMultilevel"/>
    <w:tmpl w:val="C75E02B0"/>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nsid w:val="14926214"/>
    <w:multiLevelType w:val="hybridMultilevel"/>
    <w:tmpl w:val="1E96C0F6"/>
    <w:lvl w:ilvl="0" w:tplc="9816EF46">
      <w:start w:val="1"/>
      <w:numFmt w:val="bullet"/>
      <w:lvlText w:val=""/>
      <w:lvlJc w:val="left"/>
      <w:pPr>
        <w:tabs>
          <w:tab w:val="num" w:pos="360"/>
        </w:tabs>
        <w:ind w:left="360" w:hanging="360"/>
      </w:pPr>
      <w:rPr>
        <w:rFonts w:ascii="Symbol" w:hAnsi="Symbol" w:hint="default"/>
      </w:rPr>
    </w:lvl>
    <w:lvl w:ilvl="1" w:tplc="041A0003" w:tentative="1">
      <w:start w:val="1"/>
      <w:numFmt w:val="bullet"/>
      <w:lvlText w:val="o"/>
      <w:lvlJc w:val="left"/>
      <w:pPr>
        <w:tabs>
          <w:tab w:val="num" w:pos="360"/>
        </w:tabs>
        <w:ind w:left="360" w:hanging="360"/>
      </w:pPr>
      <w:rPr>
        <w:rFonts w:ascii="Courier New" w:hAnsi="Courier New" w:hint="default"/>
      </w:rPr>
    </w:lvl>
    <w:lvl w:ilvl="2" w:tplc="041A0005" w:tentative="1">
      <w:start w:val="1"/>
      <w:numFmt w:val="bullet"/>
      <w:lvlText w:val=""/>
      <w:lvlJc w:val="left"/>
      <w:pPr>
        <w:tabs>
          <w:tab w:val="num" w:pos="1080"/>
        </w:tabs>
        <w:ind w:left="1080" w:hanging="360"/>
      </w:pPr>
      <w:rPr>
        <w:rFonts w:ascii="Wingdings" w:hAnsi="Wingdings" w:hint="default"/>
      </w:rPr>
    </w:lvl>
    <w:lvl w:ilvl="3" w:tplc="041A0001" w:tentative="1">
      <w:start w:val="1"/>
      <w:numFmt w:val="bullet"/>
      <w:lvlText w:val=""/>
      <w:lvlJc w:val="left"/>
      <w:pPr>
        <w:tabs>
          <w:tab w:val="num" w:pos="1800"/>
        </w:tabs>
        <w:ind w:left="1800" w:hanging="360"/>
      </w:pPr>
      <w:rPr>
        <w:rFonts w:ascii="Symbol" w:hAnsi="Symbol" w:hint="default"/>
      </w:rPr>
    </w:lvl>
    <w:lvl w:ilvl="4" w:tplc="041A0003" w:tentative="1">
      <w:start w:val="1"/>
      <w:numFmt w:val="bullet"/>
      <w:lvlText w:val="o"/>
      <w:lvlJc w:val="left"/>
      <w:pPr>
        <w:tabs>
          <w:tab w:val="num" w:pos="2520"/>
        </w:tabs>
        <w:ind w:left="2520" w:hanging="360"/>
      </w:pPr>
      <w:rPr>
        <w:rFonts w:ascii="Courier New" w:hAnsi="Courier New" w:hint="default"/>
      </w:rPr>
    </w:lvl>
    <w:lvl w:ilvl="5" w:tplc="041A0005" w:tentative="1">
      <w:start w:val="1"/>
      <w:numFmt w:val="bullet"/>
      <w:lvlText w:val=""/>
      <w:lvlJc w:val="left"/>
      <w:pPr>
        <w:tabs>
          <w:tab w:val="num" w:pos="3240"/>
        </w:tabs>
        <w:ind w:left="3240" w:hanging="360"/>
      </w:pPr>
      <w:rPr>
        <w:rFonts w:ascii="Wingdings" w:hAnsi="Wingdings" w:hint="default"/>
      </w:rPr>
    </w:lvl>
    <w:lvl w:ilvl="6" w:tplc="041A0001" w:tentative="1">
      <w:start w:val="1"/>
      <w:numFmt w:val="bullet"/>
      <w:lvlText w:val=""/>
      <w:lvlJc w:val="left"/>
      <w:pPr>
        <w:tabs>
          <w:tab w:val="num" w:pos="3960"/>
        </w:tabs>
        <w:ind w:left="3960" w:hanging="360"/>
      </w:pPr>
      <w:rPr>
        <w:rFonts w:ascii="Symbol" w:hAnsi="Symbol" w:hint="default"/>
      </w:rPr>
    </w:lvl>
    <w:lvl w:ilvl="7" w:tplc="041A0003" w:tentative="1">
      <w:start w:val="1"/>
      <w:numFmt w:val="bullet"/>
      <w:lvlText w:val="o"/>
      <w:lvlJc w:val="left"/>
      <w:pPr>
        <w:tabs>
          <w:tab w:val="num" w:pos="4680"/>
        </w:tabs>
        <w:ind w:left="4680" w:hanging="360"/>
      </w:pPr>
      <w:rPr>
        <w:rFonts w:ascii="Courier New" w:hAnsi="Courier New" w:hint="default"/>
      </w:rPr>
    </w:lvl>
    <w:lvl w:ilvl="8" w:tplc="041A0005" w:tentative="1">
      <w:start w:val="1"/>
      <w:numFmt w:val="bullet"/>
      <w:lvlText w:val=""/>
      <w:lvlJc w:val="left"/>
      <w:pPr>
        <w:tabs>
          <w:tab w:val="num" w:pos="5400"/>
        </w:tabs>
        <w:ind w:left="5400" w:hanging="360"/>
      </w:pPr>
      <w:rPr>
        <w:rFonts w:ascii="Wingdings" w:hAnsi="Wingdings" w:hint="default"/>
      </w:rPr>
    </w:lvl>
  </w:abstractNum>
  <w:abstractNum w:abstractNumId="4">
    <w:nsid w:val="19952DED"/>
    <w:multiLevelType w:val="hybridMultilevel"/>
    <w:tmpl w:val="139206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1F5E041F"/>
    <w:multiLevelType w:val="hybridMultilevel"/>
    <w:tmpl w:val="F872F5C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nsid w:val="1FFA788C"/>
    <w:multiLevelType w:val="hybridMultilevel"/>
    <w:tmpl w:val="AF70C8C2"/>
    <w:lvl w:ilvl="0" w:tplc="4862375A">
      <w:numFmt w:val="bullet"/>
      <w:lvlText w:val="-"/>
      <w:lvlJc w:val="left"/>
      <w:pPr>
        <w:tabs>
          <w:tab w:val="num" w:pos="720"/>
        </w:tabs>
        <w:ind w:left="720" w:hanging="360"/>
      </w:pPr>
      <w:rPr>
        <w:rFonts w:ascii="Arial" w:eastAsia="Times New Roman" w:hAnsi="Arial" w:hint="default"/>
      </w:rPr>
    </w:lvl>
    <w:lvl w:ilvl="1" w:tplc="041A0003">
      <w:start w:val="1"/>
      <w:numFmt w:val="bullet"/>
      <w:lvlText w:val="o"/>
      <w:lvlJc w:val="left"/>
      <w:pPr>
        <w:tabs>
          <w:tab w:val="num" w:pos="1440"/>
        </w:tabs>
        <w:ind w:left="1440" w:hanging="360"/>
      </w:pPr>
      <w:rPr>
        <w:rFonts w:ascii="Courier New" w:hAnsi="Courier New" w:hint="default"/>
      </w:rPr>
    </w:lvl>
    <w:lvl w:ilvl="2" w:tplc="041A0005">
      <w:start w:val="1"/>
      <w:numFmt w:val="bullet"/>
      <w:lvlText w:val=""/>
      <w:lvlJc w:val="left"/>
      <w:pPr>
        <w:tabs>
          <w:tab w:val="num" w:pos="2160"/>
        </w:tabs>
        <w:ind w:left="2160" w:hanging="360"/>
      </w:pPr>
      <w:rPr>
        <w:rFonts w:ascii="Wingdings" w:hAnsi="Wingdings" w:hint="default"/>
      </w:r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7">
    <w:nsid w:val="23180A7A"/>
    <w:multiLevelType w:val="hybridMultilevel"/>
    <w:tmpl w:val="180606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nsid w:val="24D6668D"/>
    <w:multiLevelType w:val="hybridMultilevel"/>
    <w:tmpl w:val="F8266B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nsid w:val="2EC62D0B"/>
    <w:multiLevelType w:val="hybridMultilevel"/>
    <w:tmpl w:val="FC2E066A"/>
    <w:lvl w:ilvl="0" w:tplc="04090001">
      <w:start w:val="1"/>
      <w:numFmt w:val="decimal"/>
      <w:lvlText w:val="%1."/>
      <w:lvlJc w:val="left"/>
      <w:pPr>
        <w:ind w:left="1065" w:hanging="360"/>
      </w:pPr>
      <w:rPr>
        <w:rFonts w:hint="default"/>
      </w:rPr>
    </w:lvl>
    <w:lvl w:ilvl="1" w:tplc="04090003" w:tentative="1">
      <w:start w:val="1"/>
      <w:numFmt w:val="lowerLetter"/>
      <w:lvlText w:val="%2."/>
      <w:lvlJc w:val="left"/>
      <w:pPr>
        <w:ind w:left="1785" w:hanging="360"/>
      </w:pPr>
    </w:lvl>
    <w:lvl w:ilvl="2" w:tplc="04090005" w:tentative="1">
      <w:start w:val="1"/>
      <w:numFmt w:val="lowerRoman"/>
      <w:lvlText w:val="%3."/>
      <w:lvlJc w:val="right"/>
      <w:pPr>
        <w:ind w:left="2505" w:hanging="180"/>
      </w:pPr>
    </w:lvl>
    <w:lvl w:ilvl="3" w:tplc="04090001" w:tentative="1">
      <w:start w:val="1"/>
      <w:numFmt w:val="decimal"/>
      <w:lvlText w:val="%4."/>
      <w:lvlJc w:val="left"/>
      <w:pPr>
        <w:ind w:left="3225" w:hanging="360"/>
      </w:pPr>
    </w:lvl>
    <w:lvl w:ilvl="4" w:tplc="04090003" w:tentative="1">
      <w:start w:val="1"/>
      <w:numFmt w:val="lowerLetter"/>
      <w:lvlText w:val="%5."/>
      <w:lvlJc w:val="left"/>
      <w:pPr>
        <w:ind w:left="3945" w:hanging="360"/>
      </w:pPr>
    </w:lvl>
    <w:lvl w:ilvl="5" w:tplc="04090005" w:tentative="1">
      <w:start w:val="1"/>
      <w:numFmt w:val="lowerRoman"/>
      <w:lvlText w:val="%6."/>
      <w:lvlJc w:val="right"/>
      <w:pPr>
        <w:ind w:left="4665" w:hanging="180"/>
      </w:pPr>
    </w:lvl>
    <w:lvl w:ilvl="6" w:tplc="04090001" w:tentative="1">
      <w:start w:val="1"/>
      <w:numFmt w:val="decimal"/>
      <w:lvlText w:val="%7."/>
      <w:lvlJc w:val="left"/>
      <w:pPr>
        <w:ind w:left="5385" w:hanging="360"/>
      </w:pPr>
    </w:lvl>
    <w:lvl w:ilvl="7" w:tplc="04090003" w:tentative="1">
      <w:start w:val="1"/>
      <w:numFmt w:val="lowerLetter"/>
      <w:lvlText w:val="%8."/>
      <w:lvlJc w:val="left"/>
      <w:pPr>
        <w:ind w:left="6105" w:hanging="360"/>
      </w:pPr>
    </w:lvl>
    <w:lvl w:ilvl="8" w:tplc="04090005" w:tentative="1">
      <w:start w:val="1"/>
      <w:numFmt w:val="lowerRoman"/>
      <w:lvlText w:val="%9."/>
      <w:lvlJc w:val="right"/>
      <w:pPr>
        <w:ind w:left="6825" w:hanging="180"/>
      </w:pPr>
    </w:lvl>
  </w:abstractNum>
  <w:abstractNum w:abstractNumId="10">
    <w:nsid w:val="30061DBE"/>
    <w:multiLevelType w:val="hybridMultilevel"/>
    <w:tmpl w:val="835E26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nsid w:val="30A60183"/>
    <w:multiLevelType w:val="hybridMultilevel"/>
    <w:tmpl w:val="7D9E96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nsid w:val="327A38B9"/>
    <w:multiLevelType w:val="hybridMultilevel"/>
    <w:tmpl w:val="8CDA2DA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nsid w:val="39B23214"/>
    <w:multiLevelType w:val="hybridMultilevel"/>
    <w:tmpl w:val="EDFA39D6"/>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14">
    <w:nsid w:val="40C3439A"/>
    <w:multiLevelType w:val="hybridMultilevel"/>
    <w:tmpl w:val="6A4EB01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nsid w:val="460D3321"/>
    <w:multiLevelType w:val="hybridMultilevel"/>
    <w:tmpl w:val="5D363A3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nsid w:val="48FB0D55"/>
    <w:multiLevelType w:val="hybridMultilevel"/>
    <w:tmpl w:val="3EBAC98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nsid w:val="4C7D1045"/>
    <w:multiLevelType w:val="hybridMultilevel"/>
    <w:tmpl w:val="D8BA0CF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nsid w:val="4D1C6B3A"/>
    <w:multiLevelType w:val="hybridMultilevel"/>
    <w:tmpl w:val="D0469F26"/>
    <w:lvl w:ilvl="0" w:tplc="9816EF46">
      <w:start w:val="1"/>
      <w:numFmt w:val="bullet"/>
      <w:lvlText w:val=""/>
      <w:lvlJc w:val="left"/>
      <w:pPr>
        <w:tabs>
          <w:tab w:val="num" w:pos="360"/>
        </w:tabs>
        <w:ind w:left="360" w:hanging="360"/>
      </w:pPr>
      <w:rPr>
        <w:rFonts w:ascii="Symbol" w:hAnsi="Symbol" w:hint="default"/>
      </w:rPr>
    </w:lvl>
    <w:lvl w:ilvl="1" w:tplc="041A0003" w:tentative="1">
      <w:start w:val="1"/>
      <w:numFmt w:val="bullet"/>
      <w:lvlText w:val="o"/>
      <w:lvlJc w:val="left"/>
      <w:pPr>
        <w:tabs>
          <w:tab w:val="num" w:pos="360"/>
        </w:tabs>
        <w:ind w:left="360" w:hanging="360"/>
      </w:pPr>
      <w:rPr>
        <w:rFonts w:ascii="Courier New" w:hAnsi="Courier New" w:hint="default"/>
      </w:rPr>
    </w:lvl>
    <w:lvl w:ilvl="2" w:tplc="041A0005" w:tentative="1">
      <w:start w:val="1"/>
      <w:numFmt w:val="bullet"/>
      <w:lvlText w:val=""/>
      <w:lvlJc w:val="left"/>
      <w:pPr>
        <w:tabs>
          <w:tab w:val="num" w:pos="1080"/>
        </w:tabs>
        <w:ind w:left="1080" w:hanging="360"/>
      </w:pPr>
      <w:rPr>
        <w:rFonts w:ascii="Wingdings" w:hAnsi="Wingdings" w:hint="default"/>
      </w:rPr>
    </w:lvl>
    <w:lvl w:ilvl="3" w:tplc="041A0001" w:tentative="1">
      <w:start w:val="1"/>
      <w:numFmt w:val="bullet"/>
      <w:lvlText w:val=""/>
      <w:lvlJc w:val="left"/>
      <w:pPr>
        <w:tabs>
          <w:tab w:val="num" w:pos="1800"/>
        </w:tabs>
        <w:ind w:left="1800" w:hanging="360"/>
      </w:pPr>
      <w:rPr>
        <w:rFonts w:ascii="Symbol" w:hAnsi="Symbol" w:hint="default"/>
      </w:rPr>
    </w:lvl>
    <w:lvl w:ilvl="4" w:tplc="041A0003" w:tentative="1">
      <w:start w:val="1"/>
      <w:numFmt w:val="bullet"/>
      <w:lvlText w:val="o"/>
      <w:lvlJc w:val="left"/>
      <w:pPr>
        <w:tabs>
          <w:tab w:val="num" w:pos="2520"/>
        </w:tabs>
        <w:ind w:left="2520" w:hanging="360"/>
      </w:pPr>
      <w:rPr>
        <w:rFonts w:ascii="Courier New" w:hAnsi="Courier New" w:hint="default"/>
      </w:rPr>
    </w:lvl>
    <w:lvl w:ilvl="5" w:tplc="041A0005" w:tentative="1">
      <w:start w:val="1"/>
      <w:numFmt w:val="bullet"/>
      <w:lvlText w:val=""/>
      <w:lvlJc w:val="left"/>
      <w:pPr>
        <w:tabs>
          <w:tab w:val="num" w:pos="3240"/>
        </w:tabs>
        <w:ind w:left="3240" w:hanging="360"/>
      </w:pPr>
      <w:rPr>
        <w:rFonts w:ascii="Wingdings" w:hAnsi="Wingdings" w:hint="default"/>
      </w:rPr>
    </w:lvl>
    <w:lvl w:ilvl="6" w:tplc="041A0001" w:tentative="1">
      <w:start w:val="1"/>
      <w:numFmt w:val="bullet"/>
      <w:lvlText w:val=""/>
      <w:lvlJc w:val="left"/>
      <w:pPr>
        <w:tabs>
          <w:tab w:val="num" w:pos="3960"/>
        </w:tabs>
        <w:ind w:left="3960" w:hanging="360"/>
      </w:pPr>
      <w:rPr>
        <w:rFonts w:ascii="Symbol" w:hAnsi="Symbol" w:hint="default"/>
      </w:rPr>
    </w:lvl>
    <w:lvl w:ilvl="7" w:tplc="041A0003" w:tentative="1">
      <w:start w:val="1"/>
      <w:numFmt w:val="bullet"/>
      <w:lvlText w:val="o"/>
      <w:lvlJc w:val="left"/>
      <w:pPr>
        <w:tabs>
          <w:tab w:val="num" w:pos="4680"/>
        </w:tabs>
        <w:ind w:left="4680" w:hanging="360"/>
      </w:pPr>
      <w:rPr>
        <w:rFonts w:ascii="Courier New" w:hAnsi="Courier New" w:hint="default"/>
      </w:rPr>
    </w:lvl>
    <w:lvl w:ilvl="8" w:tplc="041A0005" w:tentative="1">
      <w:start w:val="1"/>
      <w:numFmt w:val="bullet"/>
      <w:lvlText w:val=""/>
      <w:lvlJc w:val="left"/>
      <w:pPr>
        <w:tabs>
          <w:tab w:val="num" w:pos="5400"/>
        </w:tabs>
        <w:ind w:left="5400" w:hanging="360"/>
      </w:pPr>
      <w:rPr>
        <w:rFonts w:ascii="Wingdings" w:hAnsi="Wingdings" w:hint="default"/>
      </w:rPr>
    </w:lvl>
  </w:abstractNum>
  <w:abstractNum w:abstractNumId="19">
    <w:nsid w:val="51F02235"/>
    <w:multiLevelType w:val="hybridMultilevel"/>
    <w:tmpl w:val="1798A08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nsid w:val="52955DD0"/>
    <w:multiLevelType w:val="hybridMultilevel"/>
    <w:tmpl w:val="5F5478C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nsid w:val="5C5D1B6F"/>
    <w:multiLevelType w:val="hybridMultilevel"/>
    <w:tmpl w:val="59A0A61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nsid w:val="677829AE"/>
    <w:multiLevelType w:val="hybridMultilevel"/>
    <w:tmpl w:val="D5B64CCC"/>
    <w:lvl w:ilvl="0" w:tplc="08A60456">
      <w:start w:val="2"/>
      <w:numFmt w:val="bullet"/>
      <w:lvlText w:val="-"/>
      <w:lvlJc w:val="left"/>
      <w:pPr>
        <w:ind w:left="1065" w:hanging="360"/>
      </w:pPr>
      <w:rPr>
        <w:rFonts w:ascii="Times New Roman" w:eastAsia="Times New Roman" w:hAnsi="Times New Roman" w:cs="Times New Roman" w:hint="default"/>
      </w:rPr>
    </w:lvl>
    <w:lvl w:ilvl="1" w:tplc="041A0003">
      <w:start w:val="1"/>
      <w:numFmt w:val="bullet"/>
      <w:lvlText w:val="o"/>
      <w:lvlJc w:val="left"/>
      <w:pPr>
        <w:ind w:left="1785" w:hanging="360"/>
      </w:pPr>
      <w:rPr>
        <w:rFonts w:ascii="Courier New" w:hAnsi="Courier New" w:cs="Courier New" w:hint="default"/>
      </w:rPr>
    </w:lvl>
    <w:lvl w:ilvl="2" w:tplc="041A0005">
      <w:start w:val="1"/>
      <w:numFmt w:val="bullet"/>
      <w:lvlText w:val=""/>
      <w:lvlJc w:val="left"/>
      <w:pPr>
        <w:ind w:left="2505" w:hanging="360"/>
      </w:pPr>
      <w:rPr>
        <w:rFonts w:ascii="Wingdings" w:hAnsi="Wingdings" w:hint="default"/>
      </w:rPr>
    </w:lvl>
    <w:lvl w:ilvl="3" w:tplc="041A0001" w:tentative="1">
      <w:start w:val="1"/>
      <w:numFmt w:val="bullet"/>
      <w:lvlText w:val=""/>
      <w:lvlJc w:val="left"/>
      <w:pPr>
        <w:ind w:left="3225" w:hanging="360"/>
      </w:pPr>
      <w:rPr>
        <w:rFonts w:ascii="Symbol" w:hAnsi="Symbol" w:hint="default"/>
      </w:rPr>
    </w:lvl>
    <w:lvl w:ilvl="4" w:tplc="041A0003" w:tentative="1">
      <w:start w:val="1"/>
      <w:numFmt w:val="bullet"/>
      <w:lvlText w:val="o"/>
      <w:lvlJc w:val="left"/>
      <w:pPr>
        <w:ind w:left="3945" w:hanging="360"/>
      </w:pPr>
      <w:rPr>
        <w:rFonts w:ascii="Courier New" w:hAnsi="Courier New" w:cs="Courier New" w:hint="default"/>
      </w:rPr>
    </w:lvl>
    <w:lvl w:ilvl="5" w:tplc="041A0005" w:tentative="1">
      <w:start w:val="1"/>
      <w:numFmt w:val="bullet"/>
      <w:lvlText w:val=""/>
      <w:lvlJc w:val="left"/>
      <w:pPr>
        <w:ind w:left="4665" w:hanging="360"/>
      </w:pPr>
      <w:rPr>
        <w:rFonts w:ascii="Wingdings" w:hAnsi="Wingdings" w:hint="default"/>
      </w:rPr>
    </w:lvl>
    <w:lvl w:ilvl="6" w:tplc="041A0001" w:tentative="1">
      <w:start w:val="1"/>
      <w:numFmt w:val="bullet"/>
      <w:lvlText w:val=""/>
      <w:lvlJc w:val="left"/>
      <w:pPr>
        <w:ind w:left="5385" w:hanging="360"/>
      </w:pPr>
      <w:rPr>
        <w:rFonts w:ascii="Symbol" w:hAnsi="Symbol" w:hint="default"/>
      </w:rPr>
    </w:lvl>
    <w:lvl w:ilvl="7" w:tplc="041A0003" w:tentative="1">
      <w:start w:val="1"/>
      <w:numFmt w:val="bullet"/>
      <w:lvlText w:val="o"/>
      <w:lvlJc w:val="left"/>
      <w:pPr>
        <w:ind w:left="6105" w:hanging="360"/>
      </w:pPr>
      <w:rPr>
        <w:rFonts w:ascii="Courier New" w:hAnsi="Courier New" w:cs="Courier New" w:hint="default"/>
      </w:rPr>
    </w:lvl>
    <w:lvl w:ilvl="8" w:tplc="041A0005" w:tentative="1">
      <w:start w:val="1"/>
      <w:numFmt w:val="bullet"/>
      <w:lvlText w:val=""/>
      <w:lvlJc w:val="left"/>
      <w:pPr>
        <w:ind w:left="6825" w:hanging="360"/>
      </w:pPr>
      <w:rPr>
        <w:rFonts w:ascii="Wingdings" w:hAnsi="Wingdings" w:hint="default"/>
      </w:rPr>
    </w:lvl>
  </w:abstractNum>
  <w:abstractNum w:abstractNumId="23">
    <w:nsid w:val="6A103898"/>
    <w:multiLevelType w:val="hybridMultilevel"/>
    <w:tmpl w:val="A006B4A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nsid w:val="6D760894"/>
    <w:multiLevelType w:val="hybridMultilevel"/>
    <w:tmpl w:val="B334649C"/>
    <w:lvl w:ilvl="0" w:tplc="041A000D">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nsid w:val="6E754DD9"/>
    <w:multiLevelType w:val="hybridMultilevel"/>
    <w:tmpl w:val="6562DDD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nsid w:val="70FD7C31"/>
    <w:multiLevelType w:val="hybridMultilevel"/>
    <w:tmpl w:val="5948AD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nsid w:val="735B2F34"/>
    <w:multiLevelType w:val="hybridMultilevel"/>
    <w:tmpl w:val="50A688A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nsid w:val="7A4453E5"/>
    <w:multiLevelType w:val="multilevel"/>
    <w:tmpl w:val="92565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A8B7E11"/>
    <w:multiLevelType w:val="hybridMultilevel"/>
    <w:tmpl w:val="6A06EDE8"/>
    <w:lvl w:ilvl="0" w:tplc="041A000F">
      <w:start w:val="1"/>
      <w:numFmt w:val="decimal"/>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0">
    <w:nsid w:val="7D503816"/>
    <w:multiLevelType w:val="hybridMultilevel"/>
    <w:tmpl w:val="CA62B8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nsid w:val="7E1A0353"/>
    <w:multiLevelType w:val="hybridMultilevel"/>
    <w:tmpl w:val="6FDA98E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22"/>
  </w:num>
  <w:num w:numId="2">
    <w:abstractNumId w:val="21"/>
  </w:num>
  <w:num w:numId="3">
    <w:abstractNumId w:val="5"/>
  </w:num>
  <w:num w:numId="4">
    <w:abstractNumId w:val="28"/>
  </w:num>
  <w:num w:numId="5">
    <w:abstractNumId w:val="23"/>
  </w:num>
  <w:num w:numId="6">
    <w:abstractNumId w:val="31"/>
  </w:num>
  <w:num w:numId="7">
    <w:abstractNumId w:val="2"/>
  </w:num>
  <w:num w:numId="8">
    <w:abstractNumId w:val="13"/>
  </w:num>
  <w:num w:numId="9">
    <w:abstractNumId w:val="7"/>
  </w:num>
  <w:num w:numId="10">
    <w:abstractNumId w:val="11"/>
  </w:num>
  <w:num w:numId="11">
    <w:abstractNumId w:val="26"/>
  </w:num>
  <w:num w:numId="12">
    <w:abstractNumId w:val="25"/>
  </w:num>
  <w:num w:numId="13">
    <w:abstractNumId w:val="9"/>
  </w:num>
  <w:num w:numId="14">
    <w:abstractNumId w:val="29"/>
  </w:num>
  <w:num w:numId="15">
    <w:abstractNumId w:val="10"/>
  </w:num>
  <w:num w:numId="16">
    <w:abstractNumId w:val="4"/>
  </w:num>
  <w:num w:numId="17">
    <w:abstractNumId w:val="12"/>
  </w:num>
  <w:num w:numId="18">
    <w:abstractNumId w:val="20"/>
  </w:num>
  <w:num w:numId="19">
    <w:abstractNumId w:val="0"/>
  </w:num>
  <w:num w:numId="20">
    <w:abstractNumId w:val="17"/>
  </w:num>
  <w:num w:numId="21">
    <w:abstractNumId w:val="6"/>
  </w:num>
  <w:num w:numId="22">
    <w:abstractNumId w:val="14"/>
  </w:num>
  <w:num w:numId="23">
    <w:abstractNumId w:val="1"/>
  </w:num>
  <w:num w:numId="24">
    <w:abstractNumId w:val="8"/>
  </w:num>
  <w:num w:numId="25">
    <w:abstractNumId w:val="15"/>
  </w:num>
  <w:num w:numId="26">
    <w:abstractNumId w:val="16"/>
  </w:num>
  <w:num w:numId="27">
    <w:abstractNumId w:val="27"/>
  </w:num>
  <w:num w:numId="28">
    <w:abstractNumId w:val="30"/>
  </w:num>
  <w:num w:numId="29">
    <w:abstractNumId w:val="19"/>
  </w:num>
  <w:num w:numId="30">
    <w:abstractNumId w:val="18"/>
  </w:num>
  <w:num w:numId="31">
    <w:abstractNumId w:val="3"/>
  </w:num>
  <w:num w:numId="3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0043"/>
    <w:rsid w:val="00002406"/>
    <w:rsid w:val="0000247B"/>
    <w:rsid w:val="00003FD8"/>
    <w:rsid w:val="00005849"/>
    <w:rsid w:val="00010E15"/>
    <w:rsid w:val="00014612"/>
    <w:rsid w:val="000155A8"/>
    <w:rsid w:val="000177AA"/>
    <w:rsid w:val="00017D6D"/>
    <w:rsid w:val="000209BF"/>
    <w:rsid w:val="00020FBD"/>
    <w:rsid w:val="00021C31"/>
    <w:rsid w:val="000268EA"/>
    <w:rsid w:val="00026BE3"/>
    <w:rsid w:val="00027224"/>
    <w:rsid w:val="00030794"/>
    <w:rsid w:val="00035ED1"/>
    <w:rsid w:val="0003797D"/>
    <w:rsid w:val="00041C62"/>
    <w:rsid w:val="0004295A"/>
    <w:rsid w:val="00044195"/>
    <w:rsid w:val="00046A48"/>
    <w:rsid w:val="00050F94"/>
    <w:rsid w:val="00051B90"/>
    <w:rsid w:val="000522E6"/>
    <w:rsid w:val="0005459F"/>
    <w:rsid w:val="000571FB"/>
    <w:rsid w:val="00064FA0"/>
    <w:rsid w:val="000654CA"/>
    <w:rsid w:val="00066CA7"/>
    <w:rsid w:val="0007075C"/>
    <w:rsid w:val="00072453"/>
    <w:rsid w:val="00075FE8"/>
    <w:rsid w:val="00077C56"/>
    <w:rsid w:val="00077EA5"/>
    <w:rsid w:val="000848B4"/>
    <w:rsid w:val="000850C5"/>
    <w:rsid w:val="0008672F"/>
    <w:rsid w:val="00086AB5"/>
    <w:rsid w:val="00087745"/>
    <w:rsid w:val="00090A7D"/>
    <w:rsid w:val="00090CD9"/>
    <w:rsid w:val="00096903"/>
    <w:rsid w:val="000A00E1"/>
    <w:rsid w:val="000A0A74"/>
    <w:rsid w:val="000A0B93"/>
    <w:rsid w:val="000A2EF5"/>
    <w:rsid w:val="000A319B"/>
    <w:rsid w:val="000A3526"/>
    <w:rsid w:val="000A3C1B"/>
    <w:rsid w:val="000B1A7D"/>
    <w:rsid w:val="000B2D1D"/>
    <w:rsid w:val="000C068F"/>
    <w:rsid w:val="000C08F9"/>
    <w:rsid w:val="000C1A17"/>
    <w:rsid w:val="000C1BC2"/>
    <w:rsid w:val="000D75E6"/>
    <w:rsid w:val="000E0E11"/>
    <w:rsid w:val="000E3D14"/>
    <w:rsid w:val="000E674A"/>
    <w:rsid w:val="000F034A"/>
    <w:rsid w:val="000F1136"/>
    <w:rsid w:val="000F179A"/>
    <w:rsid w:val="000F29A9"/>
    <w:rsid w:val="000F32FD"/>
    <w:rsid w:val="000F49C4"/>
    <w:rsid w:val="000F4AC2"/>
    <w:rsid w:val="00101C36"/>
    <w:rsid w:val="00103BB9"/>
    <w:rsid w:val="00105A49"/>
    <w:rsid w:val="00106040"/>
    <w:rsid w:val="00107E64"/>
    <w:rsid w:val="001141E4"/>
    <w:rsid w:val="00115A2D"/>
    <w:rsid w:val="00115E85"/>
    <w:rsid w:val="001165EE"/>
    <w:rsid w:val="00117F55"/>
    <w:rsid w:val="00121229"/>
    <w:rsid w:val="001219B6"/>
    <w:rsid w:val="00122293"/>
    <w:rsid w:val="00123D8B"/>
    <w:rsid w:val="0012772B"/>
    <w:rsid w:val="0013308F"/>
    <w:rsid w:val="001353C9"/>
    <w:rsid w:val="001368EC"/>
    <w:rsid w:val="001371B3"/>
    <w:rsid w:val="00140787"/>
    <w:rsid w:val="00141CB7"/>
    <w:rsid w:val="0014416D"/>
    <w:rsid w:val="001457D3"/>
    <w:rsid w:val="00151AB6"/>
    <w:rsid w:val="00152A23"/>
    <w:rsid w:val="00152FDD"/>
    <w:rsid w:val="001532C5"/>
    <w:rsid w:val="001542F6"/>
    <w:rsid w:val="00155083"/>
    <w:rsid w:val="001562E6"/>
    <w:rsid w:val="00156A21"/>
    <w:rsid w:val="00157658"/>
    <w:rsid w:val="00161686"/>
    <w:rsid w:val="00161CF5"/>
    <w:rsid w:val="00172BA3"/>
    <w:rsid w:val="00174FC8"/>
    <w:rsid w:val="00176949"/>
    <w:rsid w:val="00177594"/>
    <w:rsid w:val="00180A5F"/>
    <w:rsid w:val="00180DE2"/>
    <w:rsid w:val="00181249"/>
    <w:rsid w:val="001815BB"/>
    <w:rsid w:val="00183D1F"/>
    <w:rsid w:val="00184461"/>
    <w:rsid w:val="001867F8"/>
    <w:rsid w:val="00193E3C"/>
    <w:rsid w:val="00196900"/>
    <w:rsid w:val="0019770C"/>
    <w:rsid w:val="001A112E"/>
    <w:rsid w:val="001A1865"/>
    <w:rsid w:val="001A1B79"/>
    <w:rsid w:val="001A390C"/>
    <w:rsid w:val="001B3D71"/>
    <w:rsid w:val="001B4008"/>
    <w:rsid w:val="001B7992"/>
    <w:rsid w:val="001C2FAE"/>
    <w:rsid w:val="001C6508"/>
    <w:rsid w:val="001C6720"/>
    <w:rsid w:val="001C6EFA"/>
    <w:rsid w:val="001D0562"/>
    <w:rsid w:val="001D098C"/>
    <w:rsid w:val="001D31A5"/>
    <w:rsid w:val="001D4460"/>
    <w:rsid w:val="001D5399"/>
    <w:rsid w:val="001D6AD0"/>
    <w:rsid w:val="001E0D85"/>
    <w:rsid w:val="001E3F49"/>
    <w:rsid w:val="001E5F3F"/>
    <w:rsid w:val="001E7A09"/>
    <w:rsid w:val="001F0C5A"/>
    <w:rsid w:val="001F143F"/>
    <w:rsid w:val="002022E9"/>
    <w:rsid w:val="00203D2C"/>
    <w:rsid w:val="0021160D"/>
    <w:rsid w:val="00211F55"/>
    <w:rsid w:val="00212677"/>
    <w:rsid w:val="002172B8"/>
    <w:rsid w:val="002213F1"/>
    <w:rsid w:val="0022779E"/>
    <w:rsid w:val="00230E4B"/>
    <w:rsid w:val="002329F2"/>
    <w:rsid w:val="00235859"/>
    <w:rsid w:val="0023592D"/>
    <w:rsid w:val="00237934"/>
    <w:rsid w:val="00240431"/>
    <w:rsid w:val="00240A17"/>
    <w:rsid w:val="00242238"/>
    <w:rsid w:val="0024599A"/>
    <w:rsid w:val="00256B0C"/>
    <w:rsid w:val="00257E9A"/>
    <w:rsid w:val="00264205"/>
    <w:rsid w:val="00264ECF"/>
    <w:rsid w:val="00267A28"/>
    <w:rsid w:val="002702FF"/>
    <w:rsid w:val="00271254"/>
    <w:rsid w:val="00271A4E"/>
    <w:rsid w:val="002761DD"/>
    <w:rsid w:val="002804ED"/>
    <w:rsid w:val="00280AAE"/>
    <w:rsid w:val="002848F0"/>
    <w:rsid w:val="002944CF"/>
    <w:rsid w:val="002A329C"/>
    <w:rsid w:val="002A33CF"/>
    <w:rsid w:val="002A36C3"/>
    <w:rsid w:val="002A796D"/>
    <w:rsid w:val="002B0032"/>
    <w:rsid w:val="002B107D"/>
    <w:rsid w:val="002B440D"/>
    <w:rsid w:val="002B4414"/>
    <w:rsid w:val="002B6061"/>
    <w:rsid w:val="002C341A"/>
    <w:rsid w:val="002C349E"/>
    <w:rsid w:val="002C3C6C"/>
    <w:rsid w:val="002D421B"/>
    <w:rsid w:val="002D4861"/>
    <w:rsid w:val="002D61FC"/>
    <w:rsid w:val="002D67E4"/>
    <w:rsid w:val="002D6B64"/>
    <w:rsid w:val="002D7CB7"/>
    <w:rsid w:val="002E1FED"/>
    <w:rsid w:val="002E34E3"/>
    <w:rsid w:val="002E38FC"/>
    <w:rsid w:val="002E6CB9"/>
    <w:rsid w:val="002F1051"/>
    <w:rsid w:val="002F6D61"/>
    <w:rsid w:val="002F7F12"/>
    <w:rsid w:val="0030030D"/>
    <w:rsid w:val="00301F44"/>
    <w:rsid w:val="00302167"/>
    <w:rsid w:val="00302438"/>
    <w:rsid w:val="003031FA"/>
    <w:rsid w:val="00303253"/>
    <w:rsid w:val="0030641D"/>
    <w:rsid w:val="0030704E"/>
    <w:rsid w:val="00307D90"/>
    <w:rsid w:val="003107E4"/>
    <w:rsid w:val="0031298E"/>
    <w:rsid w:val="00313228"/>
    <w:rsid w:val="00313F96"/>
    <w:rsid w:val="00320A32"/>
    <w:rsid w:val="00321D20"/>
    <w:rsid w:val="00323046"/>
    <w:rsid w:val="003231CC"/>
    <w:rsid w:val="0032381C"/>
    <w:rsid w:val="00325335"/>
    <w:rsid w:val="003265A5"/>
    <w:rsid w:val="00327762"/>
    <w:rsid w:val="00330B60"/>
    <w:rsid w:val="00330E5A"/>
    <w:rsid w:val="003379E1"/>
    <w:rsid w:val="00341212"/>
    <w:rsid w:val="00341C2A"/>
    <w:rsid w:val="00342C2A"/>
    <w:rsid w:val="00343FEC"/>
    <w:rsid w:val="003444B1"/>
    <w:rsid w:val="003463E7"/>
    <w:rsid w:val="0034658F"/>
    <w:rsid w:val="0035250A"/>
    <w:rsid w:val="00354AA6"/>
    <w:rsid w:val="003558C7"/>
    <w:rsid w:val="00355DFE"/>
    <w:rsid w:val="00356251"/>
    <w:rsid w:val="00357BA3"/>
    <w:rsid w:val="00360E57"/>
    <w:rsid w:val="00361779"/>
    <w:rsid w:val="0036267C"/>
    <w:rsid w:val="00362A5C"/>
    <w:rsid w:val="00366ACD"/>
    <w:rsid w:val="00371493"/>
    <w:rsid w:val="00372D39"/>
    <w:rsid w:val="0037360E"/>
    <w:rsid w:val="00375C90"/>
    <w:rsid w:val="003768C1"/>
    <w:rsid w:val="00376E49"/>
    <w:rsid w:val="0038130B"/>
    <w:rsid w:val="00390E43"/>
    <w:rsid w:val="0039121B"/>
    <w:rsid w:val="003917FD"/>
    <w:rsid w:val="00393428"/>
    <w:rsid w:val="0039512F"/>
    <w:rsid w:val="003956BE"/>
    <w:rsid w:val="003974E1"/>
    <w:rsid w:val="00397856"/>
    <w:rsid w:val="00397A60"/>
    <w:rsid w:val="003A316D"/>
    <w:rsid w:val="003A4EDE"/>
    <w:rsid w:val="003A4EE7"/>
    <w:rsid w:val="003A52BF"/>
    <w:rsid w:val="003A5E62"/>
    <w:rsid w:val="003B37B8"/>
    <w:rsid w:val="003C0835"/>
    <w:rsid w:val="003C3695"/>
    <w:rsid w:val="003C456F"/>
    <w:rsid w:val="003C4DE3"/>
    <w:rsid w:val="003C518A"/>
    <w:rsid w:val="003D037A"/>
    <w:rsid w:val="003D0416"/>
    <w:rsid w:val="003D2357"/>
    <w:rsid w:val="003D6D3D"/>
    <w:rsid w:val="003D6E00"/>
    <w:rsid w:val="003E0EE5"/>
    <w:rsid w:val="003E23BB"/>
    <w:rsid w:val="003E37FB"/>
    <w:rsid w:val="003E3AD8"/>
    <w:rsid w:val="003E3D82"/>
    <w:rsid w:val="003E405D"/>
    <w:rsid w:val="003E5250"/>
    <w:rsid w:val="003E64DC"/>
    <w:rsid w:val="003F1632"/>
    <w:rsid w:val="003F2909"/>
    <w:rsid w:val="003F4D22"/>
    <w:rsid w:val="003F7332"/>
    <w:rsid w:val="00400768"/>
    <w:rsid w:val="00403891"/>
    <w:rsid w:val="0040397A"/>
    <w:rsid w:val="00403DE2"/>
    <w:rsid w:val="004072F7"/>
    <w:rsid w:val="00410624"/>
    <w:rsid w:val="00412AD8"/>
    <w:rsid w:val="0041452A"/>
    <w:rsid w:val="00425947"/>
    <w:rsid w:val="00426B18"/>
    <w:rsid w:val="00427120"/>
    <w:rsid w:val="004328E8"/>
    <w:rsid w:val="00432DE4"/>
    <w:rsid w:val="0043550A"/>
    <w:rsid w:val="0044421B"/>
    <w:rsid w:val="00445AEA"/>
    <w:rsid w:val="004466FF"/>
    <w:rsid w:val="00450F2E"/>
    <w:rsid w:val="0046125A"/>
    <w:rsid w:val="0046186A"/>
    <w:rsid w:val="00461F0F"/>
    <w:rsid w:val="00462267"/>
    <w:rsid w:val="00462619"/>
    <w:rsid w:val="00462874"/>
    <w:rsid w:val="00462CB1"/>
    <w:rsid w:val="004642AC"/>
    <w:rsid w:val="00466349"/>
    <w:rsid w:val="00471244"/>
    <w:rsid w:val="00471EDC"/>
    <w:rsid w:val="00476008"/>
    <w:rsid w:val="0047735D"/>
    <w:rsid w:val="00482151"/>
    <w:rsid w:val="004829E5"/>
    <w:rsid w:val="00482B68"/>
    <w:rsid w:val="00483FD6"/>
    <w:rsid w:val="00490D50"/>
    <w:rsid w:val="00491E12"/>
    <w:rsid w:val="00496922"/>
    <w:rsid w:val="004A18AF"/>
    <w:rsid w:val="004A2B60"/>
    <w:rsid w:val="004A2F24"/>
    <w:rsid w:val="004A3062"/>
    <w:rsid w:val="004A33B3"/>
    <w:rsid w:val="004A6D4F"/>
    <w:rsid w:val="004A7110"/>
    <w:rsid w:val="004B0593"/>
    <w:rsid w:val="004B1489"/>
    <w:rsid w:val="004C12FD"/>
    <w:rsid w:val="004C1A46"/>
    <w:rsid w:val="004C1F2B"/>
    <w:rsid w:val="004C3098"/>
    <w:rsid w:val="004C3BA0"/>
    <w:rsid w:val="004C6931"/>
    <w:rsid w:val="004D5463"/>
    <w:rsid w:val="004D6663"/>
    <w:rsid w:val="004E017E"/>
    <w:rsid w:val="004E0373"/>
    <w:rsid w:val="004E2C83"/>
    <w:rsid w:val="004E3E68"/>
    <w:rsid w:val="004E4170"/>
    <w:rsid w:val="004E7B02"/>
    <w:rsid w:val="004F0832"/>
    <w:rsid w:val="004F2FBF"/>
    <w:rsid w:val="004F5DBA"/>
    <w:rsid w:val="004F6756"/>
    <w:rsid w:val="005000F3"/>
    <w:rsid w:val="00501030"/>
    <w:rsid w:val="00501A0A"/>
    <w:rsid w:val="0050225C"/>
    <w:rsid w:val="005030A8"/>
    <w:rsid w:val="00503263"/>
    <w:rsid w:val="005046C4"/>
    <w:rsid w:val="005052D8"/>
    <w:rsid w:val="00510366"/>
    <w:rsid w:val="00511CCB"/>
    <w:rsid w:val="0051296A"/>
    <w:rsid w:val="00514D2E"/>
    <w:rsid w:val="00514F3B"/>
    <w:rsid w:val="005166F6"/>
    <w:rsid w:val="00523629"/>
    <w:rsid w:val="0052464D"/>
    <w:rsid w:val="0052723C"/>
    <w:rsid w:val="00530F49"/>
    <w:rsid w:val="005359D7"/>
    <w:rsid w:val="00536045"/>
    <w:rsid w:val="00541D9F"/>
    <w:rsid w:val="005425B3"/>
    <w:rsid w:val="00542F9C"/>
    <w:rsid w:val="005436A2"/>
    <w:rsid w:val="0054381D"/>
    <w:rsid w:val="005438D7"/>
    <w:rsid w:val="00543D14"/>
    <w:rsid w:val="00547E0F"/>
    <w:rsid w:val="005527DD"/>
    <w:rsid w:val="005541E2"/>
    <w:rsid w:val="0055781B"/>
    <w:rsid w:val="00560E86"/>
    <w:rsid w:val="00560EFF"/>
    <w:rsid w:val="00565828"/>
    <w:rsid w:val="00566D81"/>
    <w:rsid w:val="00566EEA"/>
    <w:rsid w:val="00567986"/>
    <w:rsid w:val="00571898"/>
    <w:rsid w:val="00573ACB"/>
    <w:rsid w:val="00573DD0"/>
    <w:rsid w:val="005756E1"/>
    <w:rsid w:val="005826B0"/>
    <w:rsid w:val="00585F75"/>
    <w:rsid w:val="00586A2B"/>
    <w:rsid w:val="00591054"/>
    <w:rsid w:val="00591227"/>
    <w:rsid w:val="0059143C"/>
    <w:rsid w:val="005923FC"/>
    <w:rsid w:val="00592BB5"/>
    <w:rsid w:val="0059580E"/>
    <w:rsid w:val="005A11E9"/>
    <w:rsid w:val="005A1230"/>
    <w:rsid w:val="005A23D4"/>
    <w:rsid w:val="005A3384"/>
    <w:rsid w:val="005A66DA"/>
    <w:rsid w:val="005A7B8E"/>
    <w:rsid w:val="005B0D65"/>
    <w:rsid w:val="005B113A"/>
    <w:rsid w:val="005B1F93"/>
    <w:rsid w:val="005B3291"/>
    <w:rsid w:val="005B3ADC"/>
    <w:rsid w:val="005C056C"/>
    <w:rsid w:val="005C0F00"/>
    <w:rsid w:val="005C132E"/>
    <w:rsid w:val="005C1A79"/>
    <w:rsid w:val="005C2302"/>
    <w:rsid w:val="005C37D8"/>
    <w:rsid w:val="005D0930"/>
    <w:rsid w:val="005D180F"/>
    <w:rsid w:val="005D6E98"/>
    <w:rsid w:val="005D774A"/>
    <w:rsid w:val="005E1067"/>
    <w:rsid w:val="005E1A58"/>
    <w:rsid w:val="005E256A"/>
    <w:rsid w:val="005E2C22"/>
    <w:rsid w:val="005E6CB2"/>
    <w:rsid w:val="005F34E4"/>
    <w:rsid w:val="005F3CE0"/>
    <w:rsid w:val="005F55D0"/>
    <w:rsid w:val="005F6E5F"/>
    <w:rsid w:val="005F79F4"/>
    <w:rsid w:val="0060197D"/>
    <w:rsid w:val="00601E3E"/>
    <w:rsid w:val="006027D1"/>
    <w:rsid w:val="00603C63"/>
    <w:rsid w:val="0060658A"/>
    <w:rsid w:val="006075EB"/>
    <w:rsid w:val="006125D7"/>
    <w:rsid w:val="00614276"/>
    <w:rsid w:val="006146A7"/>
    <w:rsid w:val="00616987"/>
    <w:rsid w:val="006172F2"/>
    <w:rsid w:val="0062061D"/>
    <w:rsid w:val="00620F8B"/>
    <w:rsid w:val="00621AB0"/>
    <w:rsid w:val="0062460F"/>
    <w:rsid w:val="0062489F"/>
    <w:rsid w:val="006257EA"/>
    <w:rsid w:val="0062629C"/>
    <w:rsid w:val="00630CE2"/>
    <w:rsid w:val="00632771"/>
    <w:rsid w:val="0063294C"/>
    <w:rsid w:val="00633442"/>
    <w:rsid w:val="00636D1E"/>
    <w:rsid w:val="006375D0"/>
    <w:rsid w:val="00641744"/>
    <w:rsid w:val="00650B32"/>
    <w:rsid w:val="00652498"/>
    <w:rsid w:val="00653E5E"/>
    <w:rsid w:val="00654271"/>
    <w:rsid w:val="0065704F"/>
    <w:rsid w:val="00661595"/>
    <w:rsid w:val="00663427"/>
    <w:rsid w:val="006636E7"/>
    <w:rsid w:val="00663EB6"/>
    <w:rsid w:val="00672721"/>
    <w:rsid w:val="0067275F"/>
    <w:rsid w:val="006745D9"/>
    <w:rsid w:val="00676E97"/>
    <w:rsid w:val="00682786"/>
    <w:rsid w:val="0068443C"/>
    <w:rsid w:val="0068767D"/>
    <w:rsid w:val="0069007C"/>
    <w:rsid w:val="006913D3"/>
    <w:rsid w:val="00691E7A"/>
    <w:rsid w:val="00692BBF"/>
    <w:rsid w:val="006952EA"/>
    <w:rsid w:val="00695569"/>
    <w:rsid w:val="006959B5"/>
    <w:rsid w:val="006A03FD"/>
    <w:rsid w:val="006A1939"/>
    <w:rsid w:val="006A1EA7"/>
    <w:rsid w:val="006A26EA"/>
    <w:rsid w:val="006A33E8"/>
    <w:rsid w:val="006A772D"/>
    <w:rsid w:val="006A7F95"/>
    <w:rsid w:val="006B359E"/>
    <w:rsid w:val="006B6F3D"/>
    <w:rsid w:val="006C2E69"/>
    <w:rsid w:val="006C3DD8"/>
    <w:rsid w:val="006C4B11"/>
    <w:rsid w:val="006D20F4"/>
    <w:rsid w:val="006D4186"/>
    <w:rsid w:val="006E0E56"/>
    <w:rsid w:val="006E1385"/>
    <w:rsid w:val="006E1AD0"/>
    <w:rsid w:val="006E358D"/>
    <w:rsid w:val="006E393C"/>
    <w:rsid w:val="006E4D1B"/>
    <w:rsid w:val="006E62DC"/>
    <w:rsid w:val="006E6388"/>
    <w:rsid w:val="006F09D2"/>
    <w:rsid w:val="006F0F7F"/>
    <w:rsid w:val="006F5F47"/>
    <w:rsid w:val="00701646"/>
    <w:rsid w:val="007066A1"/>
    <w:rsid w:val="007148CC"/>
    <w:rsid w:val="007157D7"/>
    <w:rsid w:val="007158FE"/>
    <w:rsid w:val="00716560"/>
    <w:rsid w:val="00717811"/>
    <w:rsid w:val="00721146"/>
    <w:rsid w:val="00721E66"/>
    <w:rsid w:val="00726057"/>
    <w:rsid w:val="007274DC"/>
    <w:rsid w:val="0073135B"/>
    <w:rsid w:val="00732A1C"/>
    <w:rsid w:val="00733E1C"/>
    <w:rsid w:val="00733FAD"/>
    <w:rsid w:val="00734523"/>
    <w:rsid w:val="0073497C"/>
    <w:rsid w:val="0074478B"/>
    <w:rsid w:val="0074490A"/>
    <w:rsid w:val="00747F8F"/>
    <w:rsid w:val="007504DA"/>
    <w:rsid w:val="00753040"/>
    <w:rsid w:val="00753D48"/>
    <w:rsid w:val="0075426C"/>
    <w:rsid w:val="0075495B"/>
    <w:rsid w:val="007555BC"/>
    <w:rsid w:val="007578FB"/>
    <w:rsid w:val="00763BB5"/>
    <w:rsid w:val="00770F8E"/>
    <w:rsid w:val="0077624F"/>
    <w:rsid w:val="00781815"/>
    <w:rsid w:val="00782CBC"/>
    <w:rsid w:val="00782FDD"/>
    <w:rsid w:val="00784EBA"/>
    <w:rsid w:val="00785D25"/>
    <w:rsid w:val="00787EC2"/>
    <w:rsid w:val="00790006"/>
    <w:rsid w:val="007903EE"/>
    <w:rsid w:val="0079438E"/>
    <w:rsid w:val="00794FB0"/>
    <w:rsid w:val="00796887"/>
    <w:rsid w:val="007A686F"/>
    <w:rsid w:val="007B3DE5"/>
    <w:rsid w:val="007B3E63"/>
    <w:rsid w:val="007B7DDA"/>
    <w:rsid w:val="007C5DCF"/>
    <w:rsid w:val="007D2A5E"/>
    <w:rsid w:val="007D4FCA"/>
    <w:rsid w:val="007D594B"/>
    <w:rsid w:val="007D599E"/>
    <w:rsid w:val="007D5FBE"/>
    <w:rsid w:val="007D78A7"/>
    <w:rsid w:val="007E032E"/>
    <w:rsid w:val="007E1619"/>
    <w:rsid w:val="007E1B48"/>
    <w:rsid w:val="007E1BF0"/>
    <w:rsid w:val="007E332E"/>
    <w:rsid w:val="007E4EAC"/>
    <w:rsid w:val="007F001A"/>
    <w:rsid w:val="007F02CC"/>
    <w:rsid w:val="007F0A5E"/>
    <w:rsid w:val="007F0F6B"/>
    <w:rsid w:val="007F1ADE"/>
    <w:rsid w:val="007F45F0"/>
    <w:rsid w:val="007F5B47"/>
    <w:rsid w:val="007F6504"/>
    <w:rsid w:val="008005BF"/>
    <w:rsid w:val="008041AD"/>
    <w:rsid w:val="00805D40"/>
    <w:rsid w:val="008066EC"/>
    <w:rsid w:val="0081344A"/>
    <w:rsid w:val="008155F6"/>
    <w:rsid w:val="00815E60"/>
    <w:rsid w:val="0082532E"/>
    <w:rsid w:val="008267AF"/>
    <w:rsid w:val="00830219"/>
    <w:rsid w:val="00830751"/>
    <w:rsid w:val="008307E1"/>
    <w:rsid w:val="008334E0"/>
    <w:rsid w:val="00836601"/>
    <w:rsid w:val="008366D9"/>
    <w:rsid w:val="00836F21"/>
    <w:rsid w:val="00842B6E"/>
    <w:rsid w:val="008434D3"/>
    <w:rsid w:val="00843DB0"/>
    <w:rsid w:val="00844F7F"/>
    <w:rsid w:val="008458D7"/>
    <w:rsid w:val="0084750F"/>
    <w:rsid w:val="0085731D"/>
    <w:rsid w:val="00857E1D"/>
    <w:rsid w:val="00857F73"/>
    <w:rsid w:val="00860746"/>
    <w:rsid w:val="00861D9E"/>
    <w:rsid w:val="008625AF"/>
    <w:rsid w:val="008672EB"/>
    <w:rsid w:val="00873580"/>
    <w:rsid w:val="00875684"/>
    <w:rsid w:val="0087783E"/>
    <w:rsid w:val="008803FC"/>
    <w:rsid w:val="00881159"/>
    <w:rsid w:val="00881565"/>
    <w:rsid w:val="00886A0B"/>
    <w:rsid w:val="008915AD"/>
    <w:rsid w:val="0089443F"/>
    <w:rsid w:val="008947A9"/>
    <w:rsid w:val="008947D9"/>
    <w:rsid w:val="008947DD"/>
    <w:rsid w:val="008964EF"/>
    <w:rsid w:val="00896C06"/>
    <w:rsid w:val="00896E80"/>
    <w:rsid w:val="00897AEA"/>
    <w:rsid w:val="008A07DB"/>
    <w:rsid w:val="008A0F48"/>
    <w:rsid w:val="008A1648"/>
    <w:rsid w:val="008A2FEA"/>
    <w:rsid w:val="008A536F"/>
    <w:rsid w:val="008A564E"/>
    <w:rsid w:val="008A668C"/>
    <w:rsid w:val="008B27A8"/>
    <w:rsid w:val="008B467F"/>
    <w:rsid w:val="008B5DFD"/>
    <w:rsid w:val="008C3B19"/>
    <w:rsid w:val="008C5577"/>
    <w:rsid w:val="008C59FF"/>
    <w:rsid w:val="008D00BF"/>
    <w:rsid w:val="008D0876"/>
    <w:rsid w:val="008D3AB9"/>
    <w:rsid w:val="008D5B4C"/>
    <w:rsid w:val="008D5BB1"/>
    <w:rsid w:val="008E17D7"/>
    <w:rsid w:val="008E1E46"/>
    <w:rsid w:val="008E3CC0"/>
    <w:rsid w:val="008E4214"/>
    <w:rsid w:val="008E4F86"/>
    <w:rsid w:val="008E55E5"/>
    <w:rsid w:val="008F5F03"/>
    <w:rsid w:val="00902E51"/>
    <w:rsid w:val="00902F01"/>
    <w:rsid w:val="00903382"/>
    <w:rsid w:val="009074A1"/>
    <w:rsid w:val="00911F4A"/>
    <w:rsid w:val="009123FD"/>
    <w:rsid w:val="009126CD"/>
    <w:rsid w:val="00916B70"/>
    <w:rsid w:val="0092000D"/>
    <w:rsid w:val="00922DCC"/>
    <w:rsid w:val="00926B73"/>
    <w:rsid w:val="00927F4A"/>
    <w:rsid w:val="00931815"/>
    <w:rsid w:val="009343C8"/>
    <w:rsid w:val="00934965"/>
    <w:rsid w:val="00935B91"/>
    <w:rsid w:val="00935C87"/>
    <w:rsid w:val="00936F12"/>
    <w:rsid w:val="009430FA"/>
    <w:rsid w:val="00946F4C"/>
    <w:rsid w:val="00947CBD"/>
    <w:rsid w:val="0095037B"/>
    <w:rsid w:val="009503E9"/>
    <w:rsid w:val="0095134F"/>
    <w:rsid w:val="009535FE"/>
    <w:rsid w:val="0095796E"/>
    <w:rsid w:val="00961776"/>
    <w:rsid w:val="009621BF"/>
    <w:rsid w:val="00962FFE"/>
    <w:rsid w:val="00963F10"/>
    <w:rsid w:val="00964E3D"/>
    <w:rsid w:val="00971EE3"/>
    <w:rsid w:val="00973115"/>
    <w:rsid w:val="0097678D"/>
    <w:rsid w:val="0097778D"/>
    <w:rsid w:val="00982899"/>
    <w:rsid w:val="0098425D"/>
    <w:rsid w:val="00986509"/>
    <w:rsid w:val="00993701"/>
    <w:rsid w:val="00993C38"/>
    <w:rsid w:val="00994508"/>
    <w:rsid w:val="0099454D"/>
    <w:rsid w:val="009A101E"/>
    <w:rsid w:val="009A3CE8"/>
    <w:rsid w:val="009A52A7"/>
    <w:rsid w:val="009A5A02"/>
    <w:rsid w:val="009A74AB"/>
    <w:rsid w:val="009A7707"/>
    <w:rsid w:val="009B1389"/>
    <w:rsid w:val="009B4954"/>
    <w:rsid w:val="009B4E8F"/>
    <w:rsid w:val="009B50FD"/>
    <w:rsid w:val="009B6778"/>
    <w:rsid w:val="009C3349"/>
    <w:rsid w:val="009C42A9"/>
    <w:rsid w:val="009C471F"/>
    <w:rsid w:val="009C762C"/>
    <w:rsid w:val="009C7E20"/>
    <w:rsid w:val="009D5670"/>
    <w:rsid w:val="009E0944"/>
    <w:rsid w:val="009E1E7E"/>
    <w:rsid w:val="009E5044"/>
    <w:rsid w:val="009E52FF"/>
    <w:rsid w:val="009E5C28"/>
    <w:rsid w:val="009E5F95"/>
    <w:rsid w:val="009E6114"/>
    <w:rsid w:val="009F4C9F"/>
    <w:rsid w:val="009F4E5A"/>
    <w:rsid w:val="009F7964"/>
    <w:rsid w:val="00A003E4"/>
    <w:rsid w:val="00A0084D"/>
    <w:rsid w:val="00A00877"/>
    <w:rsid w:val="00A01004"/>
    <w:rsid w:val="00A01C46"/>
    <w:rsid w:val="00A02648"/>
    <w:rsid w:val="00A04E4D"/>
    <w:rsid w:val="00A05790"/>
    <w:rsid w:val="00A10295"/>
    <w:rsid w:val="00A12BF3"/>
    <w:rsid w:val="00A12D6D"/>
    <w:rsid w:val="00A14D4B"/>
    <w:rsid w:val="00A20B95"/>
    <w:rsid w:val="00A21CBB"/>
    <w:rsid w:val="00A25221"/>
    <w:rsid w:val="00A333AA"/>
    <w:rsid w:val="00A45E44"/>
    <w:rsid w:val="00A46EDF"/>
    <w:rsid w:val="00A475AE"/>
    <w:rsid w:val="00A47B38"/>
    <w:rsid w:val="00A47E78"/>
    <w:rsid w:val="00A5237C"/>
    <w:rsid w:val="00A52E59"/>
    <w:rsid w:val="00A544E5"/>
    <w:rsid w:val="00A60854"/>
    <w:rsid w:val="00A61305"/>
    <w:rsid w:val="00A713B7"/>
    <w:rsid w:val="00A74012"/>
    <w:rsid w:val="00A74B47"/>
    <w:rsid w:val="00A801BB"/>
    <w:rsid w:val="00A82CA9"/>
    <w:rsid w:val="00A8775C"/>
    <w:rsid w:val="00AA3CB0"/>
    <w:rsid w:val="00AA4078"/>
    <w:rsid w:val="00AB267C"/>
    <w:rsid w:val="00AB538B"/>
    <w:rsid w:val="00AB6766"/>
    <w:rsid w:val="00AB6EB3"/>
    <w:rsid w:val="00AB713F"/>
    <w:rsid w:val="00AC09FC"/>
    <w:rsid w:val="00AC4AB3"/>
    <w:rsid w:val="00AD2249"/>
    <w:rsid w:val="00AD3C22"/>
    <w:rsid w:val="00AD49FA"/>
    <w:rsid w:val="00AD5D5F"/>
    <w:rsid w:val="00AD69E1"/>
    <w:rsid w:val="00AD6B3D"/>
    <w:rsid w:val="00AE125D"/>
    <w:rsid w:val="00AE260B"/>
    <w:rsid w:val="00AE2E69"/>
    <w:rsid w:val="00AE4DC2"/>
    <w:rsid w:val="00AE5528"/>
    <w:rsid w:val="00AE6C43"/>
    <w:rsid w:val="00AE760A"/>
    <w:rsid w:val="00AF0CEE"/>
    <w:rsid w:val="00AF1E9F"/>
    <w:rsid w:val="00AF2E78"/>
    <w:rsid w:val="00AF3BDD"/>
    <w:rsid w:val="00AF6D60"/>
    <w:rsid w:val="00B1071E"/>
    <w:rsid w:val="00B10DBB"/>
    <w:rsid w:val="00B127F4"/>
    <w:rsid w:val="00B15A53"/>
    <w:rsid w:val="00B16641"/>
    <w:rsid w:val="00B1724A"/>
    <w:rsid w:val="00B20735"/>
    <w:rsid w:val="00B20C70"/>
    <w:rsid w:val="00B2387F"/>
    <w:rsid w:val="00B2486C"/>
    <w:rsid w:val="00B26235"/>
    <w:rsid w:val="00B33E37"/>
    <w:rsid w:val="00B355CB"/>
    <w:rsid w:val="00B37C59"/>
    <w:rsid w:val="00B42F21"/>
    <w:rsid w:val="00B45132"/>
    <w:rsid w:val="00B45198"/>
    <w:rsid w:val="00B457B5"/>
    <w:rsid w:val="00B52DFD"/>
    <w:rsid w:val="00B56C85"/>
    <w:rsid w:val="00B570D2"/>
    <w:rsid w:val="00B63E27"/>
    <w:rsid w:val="00B63F5E"/>
    <w:rsid w:val="00B65544"/>
    <w:rsid w:val="00B66D6F"/>
    <w:rsid w:val="00B72AC7"/>
    <w:rsid w:val="00B7363B"/>
    <w:rsid w:val="00B73C4D"/>
    <w:rsid w:val="00B76178"/>
    <w:rsid w:val="00B77EC3"/>
    <w:rsid w:val="00B80100"/>
    <w:rsid w:val="00B8171E"/>
    <w:rsid w:val="00B81EB7"/>
    <w:rsid w:val="00B84101"/>
    <w:rsid w:val="00B8537B"/>
    <w:rsid w:val="00B94823"/>
    <w:rsid w:val="00B94B3E"/>
    <w:rsid w:val="00B960E2"/>
    <w:rsid w:val="00B96F91"/>
    <w:rsid w:val="00BA0223"/>
    <w:rsid w:val="00BA3CCA"/>
    <w:rsid w:val="00BA42E7"/>
    <w:rsid w:val="00BB0E12"/>
    <w:rsid w:val="00BB15E4"/>
    <w:rsid w:val="00BB219D"/>
    <w:rsid w:val="00BB21D6"/>
    <w:rsid w:val="00BB5ACC"/>
    <w:rsid w:val="00BC18C7"/>
    <w:rsid w:val="00BC2739"/>
    <w:rsid w:val="00BC5BE0"/>
    <w:rsid w:val="00BC6512"/>
    <w:rsid w:val="00BC6D47"/>
    <w:rsid w:val="00BC6E35"/>
    <w:rsid w:val="00BD29A7"/>
    <w:rsid w:val="00BD31D6"/>
    <w:rsid w:val="00BD3B54"/>
    <w:rsid w:val="00BD412E"/>
    <w:rsid w:val="00BD79EE"/>
    <w:rsid w:val="00BE1376"/>
    <w:rsid w:val="00BE3FE9"/>
    <w:rsid w:val="00BE5243"/>
    <w:rsid w:val="00BE527E"/>
    <w:rsid w:val="00BE6DD8"/>
    <w:rsid w:val="00BF43E7"/>
    <w:rsid w:val="00BF4865"/>
    <w:rsid w:val="00BF5941"/>
    <w:rsid w:val="00C0250D"/>
    <w:rsid w:val="00C02C35"/>
    <w:rsid w:val="00C04274"/>
    <w:rsid w:val="00C0489F"/>
    <w:rsid w:val="00C05CA5"/>
    <w:rsid w:val="00C067CC"/>
    <w:rsid w:val="00C1118F"/>
    <w:rsid w:val="00C13281"/>
    <w:rsid w:val="00C1351F"/>
    <w:rsid w:val="00C14BB4"/>
    <w:rsid w:val="00C21220"/>
    <w:rsid w:val="00C22BE4"/>
    <w:rsid w:val="00C271D9"/>
    <w:rsid w:val="00C30771"/>
    <w:rsid w:val="00C31818"/>
    <w:rsid w:val="00C324FA"/>
    <w:rsid w:val="00C36B02"/>
    <w:rsid w:val="00C3718B"/>
    <w:rsid w:val="00C4013D"/>
    <w:rsid w:val="00C4412E"/>
    <w:rsid w:val="00C4570A"/>
    <w:rsid w:val="00C47E0E"/>
    <w:rsid w:val="00C53B73"/>
    <w:rsid w:val="00C53E89"/>
    <w:rsid w:val="00C54138"/>
    <w:rsid w:val="00C5447E"/>
    <w:rsid w:val="00C5721A"/>
    <w:rsid w:val="00C632F7"/>
    <w:rsid w:val="00C657E9"/>
    <w:rsid w:val="00C7110E"/>
    <w:rsid w:val="00C71A4F"/>
    <w:rsid w:val="00C741FC"/>
    <w:rsid w:val="00C761F9"/>
    <w:rsid w:val="00C807B9"/>
    <w:rsid w:val="00C81C8B"/>
    <w:rsid w:val="00C81ED0"/>
    <w:rsid w:val="00C82808"/>
    <w:rsid w:val="00C84FA5"/>
    <w:rsid w:val="00C8616D"/>
    <w:rsid w:val="00C86D1B"/>
    <w:rsid w:val="00C923B1"/>
    <w:rsid w:val="00C93EA5"/>
    <w:rsid w:val="00C9418C"/>
    <w:rsid w:val="00C94E50"/>
    <w:rsid w:val="00C952A0"/>
    <w:rsid w:val="00CA4BFA"/>
    <w:rsid w:val="00CA6A82"/>
    <w:rsid w:val="00CA6E8E"/>
    <w:rsid w:val="00CB2C26"/>
    <w:rsid w:val="00CB3F6D"/>
    <w:rsid w:val="00CB42E8"/>
    <w:rsid w:val="00CB4642"/>
    <w:rsid w:val="00CB65B4"/>
    <w:rsid w:val="00CB7BCB"/>
    <w:rsid w:val="00CB7FF5"/>
    <w:rsid w:val="00CC18BD"/>
    <w:rsid w:val="00CC4870"/>
    <w:rsid w:val="00CC48D9"/>
    <w:rsid w:val="00CC5B21"/>
    <w:rsid w:val="00CC6442"/>
    <w:rsid w:val="00CD0CBA"/>
    <w:rsid w:val="00CD2738"/>
    <w:rsid w:val="00CD28CA"/>
    <w:rsid w:val="00CD526D"/>
    <w:rsid w:val="00CD6C0D"/>
    <w:rsid w:val="00CD709D"/>
    <w:rsid w:val="00CD7CA8"/>
    <w:rsid w:val="00CE062A"/>
    <w:rsid w:val="00CE0BBC"/>
    <w:rsid w:val="00CE1369"/>
    <w:rsid w:val="00CE4336"/>
    <w:rsid w:val="00CE4912"/>
    <w:rsid w:val="00CE7BDF"/>
    <w:rsid w:val="00CF2EB2"/>
    <w:rsid w:val="00CF729B"/>
    <w:rsid w:val="00D01918"/>
    <w:rsid w:val="00D10527"/>
    <w:rsid w:val="00D119FD"/>
    <w:rsid w:val="00D1278C"/>
    <w:rsid w:val="00D1289B"/>
    <w:rsid w:val="00D13610"/>
    <w:rsid w:val="00D1488A"/>
    <w:rsid w:val="00D155A3"/>
    <w:rsid w:val="00D166B0"/>
    <w:rsid w:val="00D17B3C"/>
    <w:rsid w:val="00D2053B"/>
    <w:rsid w:val="00D276CB"/>
    <w:rsid w:val="00D27D8A"/>
    <w:rsid w:val="00D3406C"/>
    <w:rsid w:val="00D34329"/>
    <w:rsid w:val="00D37350"/>
    <w:rsid w:val="00D438CB"/>
    <w:rsid w:val="00D44E2F"/>
    <w:rsid w:val="00D50648"/>
    <w:rsid w:val="00D53860"/>
    <w:rsid w:val="00D55ACF"/>
    <w:rsid w:val="00D60B34"/>
    <w:rsid w:val="00D6239A"/>
    <w:rsid w:val="00D628E7"/>
    <w:rsid w:val="00D638D5"/>
    <w:rsid w:val="00D63A3A"/>
    <w:rsid w:val="00D65C64"/>
    <w:rsid w:val="00D6722A"/>
    <w:rsid w:val="00D7011F"/>
    <w:rsid w:val="00D70611"/>
    <w:rsid w:val="00D724C2"/>
    <w:rsid w:val="00D760AD"/>
    <w:rsid w:val="00D80A89"/>
    <w:rsid w:val="00D80F88"/>
    <w:rsid w:val="00D815FA"/>
    <w:rsid w:val="00D81EAA"/>
    <w:rsid w:val="00D81F3F"/>
    <w:rsid w:val="00D846AA"/>
    <w:rsid w:val="00D870C9"/>
    <w:rsid w:val="00D8737A"/>
    <w:rsid w:val="00D87F43"/>
    <w:rsid w:val="00D90AF4"/>
    <w:rsid w:val="00D947EC"/>
    <w:rsid w:val="00D95EEC"/>
    <w:rsid w:val="00DA156D"/>
    <w:rsid w:val="00DA300B"/>
    <w:rsid w:val="00DA4B56"/>
    <w:rsid w:val="00DB2084"/>
    <w:rsid w:val="00DB3976"/>
    <w:rsid w:val="00DB6A86"/>
    <w:rsid w:val="00DB6A8C"/>
    <w:rsid w:val="00DB7318"/>
    <w:rsid w:val="00DB77B5"/>
    <w:rsid w:val="00DC11F6"/>
    <w:rsid w:val="00DC1449"/>
    <w:rsid w:val="00DD1258"/>
    <w:rsid w:val="00DD2323"/>
    <w:rsid w:val="00DD400C"/>
    <w:rsid w:val="00DD6338"/>
    <w:rsid w:val="00DD7046"/>
    <w:rsid w:val="00DD745B"/>
    <w:rsid w:val="00DE0E84"/>
    <w:rsid w:val="00DE1EA9"/>
    <w:rsid w:val="00DE3176"/>
    <w:rsid w:val="00DE4F74"/>
    <w:rsid w:val="00DE6654"/>
    <w:rsid w:val="00DF4247"/>
    <w:rsid w:val="00E01919"/>
    <w:rsid w:val="00E1154D"/>
    <w:rsid w:val="00E14738"/>
    <w:rsid w:val="00E148C4"/>
    <w:rsid w:val="00E16746"/>
    <w:rsid w:val="00E222B7"/>
    <w:rsid w:val="00E22350"/>
    <w:rsid w:val="00E25D24"/>
    <w:rsid w:val="00E26662"/>
    <w:rsid w:val="00E30326"/>
    <w:rsid w:val="00E31971"/>
    <w:rsid w:val="00E3215C"/>
    <w:rsid w:val="00E3654B"/>
    <w:rsid w:val="00E36A62"/>
    <w:rsid w:val="00E4029C"/>
    <w:rsid w:val="00E412BD"/>
    <w:rsid w:val="00E41642"/>
    <w:rsid w:val="00E42A27"/>
    <w:rsid w:val="00E44A4B"/>
    <w:rsid w:val="00E452EB"/>
    <w:rsid w:val="00E45414"/>
    <w:rsid w:val="00E455B5"/>
    <w:rsid w:val="00E47FEE"/>
    <w:rsid w:val="00E50208"/>
    <w:rsid w:val="00E50800"/>
    <w:rsid w:val="00E50D88"/>
    <w:rsid w:val="00E50F7A"/>
    <w:rsid w:val="00E52D51"/>
    <w:rsid w:val="00E52ED8"/>
    <w:rsid w:val="00E54536"/>
    <w:rsid w:val="00E57495"/>
    <w:rsid w:val="00E600A7"/>
    <w:rsid w:val="00E60A5E"/>
    <w:rsid w:val="00E613C9"/>
    <w:rsid w:val="00E6460D"/>
    <w:rsid w:val="00E649B4"/>
    <w:rsid w:val="00E671E3"/>
    <w:rsid w:val="00E70EC5"/>
    <w:rsid w:val="00E71343"/>
    <w:rsid w:val="00E721E3"/>
    <w:rsid w:val="00E74FB0"/>
    <w:rsid w:val="00E81F74"/>
    <w:rsid w:val="00E8285F"/>
    <w:rsid w:val="00E8379A"/>
    <w:rsid w:val="00E85B25"/>
    <w:rsid w:val="00E87F50"/>
    <w:rsid w:val="00E90043"/>
    <w:rsid w:val="00E922F0"/>
    <w:rsid w:val="00E95E8B"/>
    <w:rsid w:val="00EA3824"/>
    <w:rsid w:val="00EA3825"/>
    <w:rsid w:val="00EA4BA3"/>
    <w:rsid w:val="00EB0C11"/>
    <w:rsid w:val="00EB19E9"/>
    <w:rsid w:val="00EB35E2"/>
    <w:rsid w:val="00EB3A6F"/>
    <w:rsid w:val="00EB694C"/>
    <w:rsid w:val="00EB6FC5"/>
    <w:rsid w:val="00EB7110"/>
    <w:rsid w:val="00EC2248"/>
    <w:rsid w:val="00EC2D6C"/>
    <w:rsid w:val="00EC51AC"/>
    <w:rsid w:val="00EC652C"/>
    <w:rsid w:val="00EC6665"/>
    <w:rsid w:val="00EC6F29"/>
    <w:rsid w:val="00EC70AE"/>
    <w:rsid w:val="00ED0EF7"/>
    <w:rsid w:val="00ED28D3"/>
    <w:rsid w:val="00ED40AA"/>
    <w:rsid w:val="00ED4B90"/>
    <w:rsid w:val="00EE2E05"/>
    <w:rsid w:val="00EE3066"/>
    <w:rsid w:val="00EE43C9"/>
    <w:rsid w:val="00EE4F31"/>
    <w:rsid w:val="00EE6555"/>
    <w:rsid w:val="00EE7AAE"/>
    <w:rsid w:val="00EF0E45"/>
    <w:rsid w:val="00EF3947"/>
    <w:rsid w:val="00EF5C00"/>
    <w:rsid w:val="00EF6228"/>
    <w:rsid w:val="00EF7AF2"/>
    <w:rsid w:val="00F00F6C"/>
    <w:rsid w:val="00F013AD"/>
    <w:rsid w:val="00F02057"/>
    <w:rsid w:val="00F02849"/>
    <w:rsid w:val="00F03757"/>
    <w:rsid w:val="00F04E4F"/>
    <w:rsid w:val="00F11B6C"/>
    <w:rsid w:val="00F11D51"/>
    <w:rsid w:val="00F12249"/>
    <w:rsid w:val="00F13199"/>
    <w:rsid w:val="00F13B1D"/>
    <w:rsid w:val="00F154EF"/>
    <w:rsid w:val="00F21320"/>
    <w:rsid w:val="00F21BD4"/>
    <w:rsid w:val="00F2301C"/>
    <w:rsid w:val="00F23354"/>
    <w:rsid w:val="00F27620"/>
    <w:rsid w:val="00F27997"/>
    <w:rsid w:val="00F27A09"/>
    <w:rsid w:val="00F3065C"/>
    <w:rsid w:val="00F3067F"/>
    <w:rsid w:val="00F31772"/>
    <w:rsid w:val="00F31DDB"/>
    <w:rsid w:val="00F367B4"/>
    <w:rsid w:val="00F379D1"/>
    <w:rsid w:val="00F4144F"/>
    <w:rsid w:val="00F41B36"/>
    <w:rsid w:val="00F41B4F"/>
    <w:rsid w:val="00F421F4"/>
    <w:rsid w:val="00F501B1"/>
    <w:rsid w:val="00F51FEB"/>
    <w:rsid w:val="00F54802"/>
    <w:rsid w:val="00F552B1"/>
    <w:rsid w:val="00F57AF5"/>
    <w:rsid w:val="00F612CD"/>
    <w:rsid w:val="00F63385"/>
    <w:rsid w:val="00F63EDF"/>
    <w:rsid w:val="00F65030"/>
    <w:rsid w:val="00F67DF6"/>
    <w:rsid w:val="00F728FE"/>
    <w:rsid w:val="00F73294"/>
    <w:rsid w:val="00F733A5"/>
    <w:rsid w:val="00F768B0"/>
    <w:rsid w:val="00F83758"/>
    <w:rsid w:val="00F839C4"/>
    <w:rsid w:val="00F84711"/>
    <w:rsid w:val="00F84BB3"/>
    <w:rsid w:val="00F90E91"/>
    <w:rsid w:val="00F93385"/>
    <w:rsid w:val="00F937B4"/>
    <w:rsid w:val="00FA0359"/>
    <w:rsid w:val="00FA09B0"/>
    <w:rsid w:val="00FB045A"/>
    <w:rsid w:val="00FB2B17"/>
    <w:rsid w:val="00FB3F63"/>
    <w:rsid w:val="00FB63A8"/>
    <w:rsid w:val="00FB6D1F"/>
    <w:rsid w:val="00FB7402"/>
    <w:rsid w:val="00FC0732"/>
    <w:rsid w:val="00FC1191"/>
    <w:rsid w:val="00FC17A6"/>
    <w:rsid w:val="00FD5FFE"/>
    <w:rsid w:val="00FD6957"/>
    <w:rsid w:val="00FD73E2"/>
    <w:rsid w:val="00FE0315"/>
    <w:rsid w:val="00FE5936"/>
    <w:rsid w:val="00FE61FF"/>
    <w:rsid w:val="00FE663F"/>
    <w:rsid w:val="00FE7DAB"/>
    <w:rsid w:val="00FF2513"/>
    <w:rsid w:val="00FF2F38"/>
    <w:rsid w:val="00FF5CB4"/>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Naslov1">
    <w:name w:val="heading 1"/>
    <w:basedOn w:val="Normal"/>
    <w:next w:val="Normal"/>
    <w:link w:val="Naslov1Char"/>
    <w:uiPriority w:val="9"/>
    <w:qFormat/>
    <w:rsid w:val="00E922F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hr-HR"/>
    </w:rPr>
  </w:style>
  <w:style w:type="paragraph" w:styleId="Naslov2">
    <w:name w:val="heading 2"/>
    <w:basedOn w:val="Normal"/>
    <w:next w:val="Normal"/>
    <w:link w:val="Naslov2Char"/>
    <w:uiPriority w:val="9"/>
    <w:unhideWhenUsed/>
    <w:qFormat/>
    <w:rsid w:val="00B37C5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ormal"/>
    <w:next w:val="Normal"/>
    <w:link w:val="Naslov3Char"/>
    <w:uiPriority w:val="9"/>
    <w:unhideWhenUsed/>
    <w:qFormat/>
    <w:rsid w:val="00B37C59"/>
    <w:pPr>
      <w:keepNext/>
      <w:keepLines/>
      <w:spacing w:before="200" w:after="0"/>
      <w:outlineLvl w:val="2"/>
    </w:pPr>
    <w:rPr>
      <w:rFonts w:asciiTheme="majorHAnsi" w:eastAsiaTheme="majorEastAsia" w:hAnsiTheme="majorHAnsi" w:cstheme="majorBidi"/>
      <w:b/>
      <w:bCs/>
      <w:color w:val="4F81BD" w:themeColor="accent1"/>
    </w:rPr>
  </w:style>
  <w:style w:type="character" w:default="1" w:styleId="Zadanifontodlomka">
    <w:name w:val="Default Paragraph Font"/>
    <w:uiPriority w:val="1"/>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binitekst">
    <w:name w:val="Plain Text"/>
    <w:basedOn w:val="Normal"/>
    <w:link w:val="ObinitekstChar"/>
    <w:uiPriority w:val="99"/>
    <w:semiHidden/>
    <w:unhideWhenUsed/>
    <w:rsid w:val="0047735D"/>
    <w:pPr>
      <w:spacing w:after="0" w:line="240" w:lineRule="auto"/>
    </w:pPr>
    <w:rPr>
      <w:rFonts w:ascii="Consolas" w:hAnsi="Consolas" w:cs="Consolas"/>
      <w:sz w:val="21"/>
      <w:szCs w:val="21"/>
    </w:rPr>
  </w:style>
  <w:style w:type="character" w:customStyle="1" w:styleId="ObinitekstChar">
    <w:name w:val="Obični tekst Char"/>
    <w:basedOn w:val="Zadanifontodlomka"/>
    <w:link w:val="Obinitekst"/>
    <w:uiPriority w:val="99"/>
    <w:semiHidden/>
    <w:rsid w:val="0047735D"/>
    <w:rPr>
      <w:rFonts w:ascii="Consolas" w:hAnsi="Consolas" w:cs="Consolas"/>
      <w:sz w:val="21"/>
      <w:szCs w:val="21"/>
    </w:rPr>
  </w:style>
  <w:style w:type="character" w:styleId="Referencakomentara">
    <w:name w:val="annotation reference"/>
    <w:rsid w:val="0047735D"/>
    <w:rPr>
      <w:sz w:val="16"/>
      <w:szCs w:val="16"/>
    </w:rPr>
  </w:style>
  <w:style w:type="paragraph" w:styleId="Tekstkomentara">
    <w:name w:val="annotation text"/>
    <w:basedOn w:val="Normal"/>
    <w:link w:val="TekstkomentaraChar"/>
    <w:rsid w:val="0047735D"/>
    <w:pPr>
      <w:spacing w:after="0" w:line="240" w:lineRule="auto"/>
    </w:pPr>
    <w:rPr>
      <w:rFonts w:ascii="Times New Roman" w:eastAsia="Times New Roman" w:hAnsi="Times New Roman" w:cs="Times New Roman"/>
      <w:sz w:val="20"/>
      <w:szCs w:val="20"/>
      <w:lang w:eastAsia="hr-HR"/>
    </w:rPr>
  </w:style>
  <w:style w:type="character" w:customStyle="1" w:styleId="TekstkomentaraChar">
    <w:name w:val="Tekst komentara Char"/>
    <w:basedOn w:val="Zadanifontodlomka"/>
    <w:link w:val="Tekstkomentara"/>
    <w:rsid w:val="0047735D"/>
    <w:rPr>
      <w:rFonts w:ascii="Times New Roman" w:eastAsia="Times New Roman" w:hAnsi="Times New Roman" w:cs="Times New Roman"/>
      <w:sz w:val="20"/>
      <w:szCs w:val="20"/>
      <w:lang w:eastAsia="hr-HR"/>
    </w:rPr>
  </w:style>
  <w:style w:type="paragraph" w:styleId="Tekstbalonia">
    <w:name w:val="Balloon Text"/>
    <w:basedOn w:val="Normal"/>
    <w:link w:val="TekstbaloniaChar"/>
    <w:uiPriority w:val="99"/>
    <w:semiHidden/>
    <w:unhideWhenUsed/>
    <w:rsid w:val="0047735D"/>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47735D"/>
    <w:rPr>
      <w:rFonts w:ascii="Tahoma" w:hAnsi="Tahoma" w:cs="Tahoma"/>
      <w:sz w:val="16"/>
      <w:szCs w:val="16"/>
    </w:rPr>
  </w:style>
  <w:style w:type="paragraph" w:styleId="Predmetkomentara">
    <w:name w:val="annotation subject"/>
    <w:basedOn w:val="Tekstkomentara"/>
    <w:next w:val="Tekstkomentara"/>
    <w:link w:val="PredmetkomentaraChar"/>
    <w:uiPriority w:val="99"/>
    <w:semiHidden/>
    <w:unhideWhenUsed/>
    <w:rsid w:val="00F65030"/>
    <w:pPr>
      <w:spacing w:after="200"/>
    </w:pPr>
    <w:rPr>
      <w:rFonts w:asciiTheme="minorHAnsi" w:eastAsiaTheme="minorHAnsi" w:hAnsiTheme="minorHAnsi" w:cstheme="minorBidi"/>
      <w:b/>
      <w:bCs/>
      <w:lang w:eastAsia="en-US"/>
    </w:rPr>
  </w:style>
  <w:style w:type="character" w:customStyle="1" w:styleId="PredmetkomentaraChar">
    <w:name w:val="Predmet komentara Char"/>
    <w:basedOn w:val="TekstkomentaraChar"/>
    <w:link w:val="Predmetkomentara"/>
    <w:uiPriority w:val="99"/>
    <w:semiHidden/>
    <w:rsid w:val="00F65030"/>
    <w:rPr>
      <w:rFonts w:ascii="Times New Roman" w:eastAsia="Times New Roman" w:hAnsi="Times New Roman" w:cs="Times New Roman"/>
      <w:b/>
      <w:bCs/>
      <w:sz w:val="20"/>
      <w:szCs w:val="20"/>
      <w:lang w:eastAsia="hr-HR"/>
    </w:rPr>
  </w:style>
  <w:style w:type="paragraph" w:styleId="Odlomakpopisa">
    <w:name w:val="List Paragraph"/>
    <w:basedOn w:val="Normal"/>
    <w:uiPriority w:val="34"/>
    <w:qFormat/>
    <w:rsid w:val="00F65030"/>
    <w:pPr>
      <w:ind w:left="720"/>
      <w:contextualSpacing/>
    </w:pPr>
  </w:style>
  <w:style w:type="character" w:styleId="Hiperveza">
    <w:name w:val="Hyperlink"/>
    <w:basedOn w:val="Zadanifontodlomka"/>
    <w:uiPriority w:val="99"/>
    <w:unhideWhenUsed/>
    <w:rsid w:val="00CB7BCB"/>
    <w:rPr>
      <w:color w:val="0000FF" w:themeColor="hyperlink"/>
      <w:u w:val="single"/>
    </w:rPr>
  </w:style>
  <w:style w:type="paragraph" w:styleId="Opisslike">
    <w:name w:val="caption"/>
    <w:aliases w:val="Char"/>
    <w:basedOn w:val="Normal"/>
    <w:next w:val="Normal"/>
    <w:link w:val="OpisslikeChar"/>
    <w:uiPriority w:val="35"/>
    <w:unhideWhenUsed/>
    <w:qFormat/>
    <w:rsid w:val="00C067CC"/>
    <w:pPr>
      <w:spacing w:line="240" w:lineRule="auto"/>
    </w:pPr>
    <w:rPr>
      <w:b/>
      <w:bCs/>
      <w:color w:val="4F81BD" w:themeColor="accent1"/>
      <w:sz w:val="18"/>
      <w:szCs w:val="18"/>
    </w:rPr>
  </w:style>
  <w:style w:type="table" w:styleId="Reetkatablice">
    <w:name w:val="Table Grid"/>
    <w:basedOn w:val="Obinatablica"/>
    <w:rsid w:val="00964E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Zadanifontodlomka"/>
    <w:rsid w:val="002C349E"/>
  </w:style>
  <w:style w:type="character" w:customStyle="1" w:styleId="apple-style-span">
    <w:name w:val="apple-style-span"/>
    <w:basedOn w:val="Zadanifontodlomka"/>
    <w:rsid w:val="003A316D"/>
  </w:style>
  <w:style w:type="character" w:styleId="SlijeenaHiperveza">
    <w:name w:val="FollowedHyperlink"/>
    <w:basedOn w:val="Zadanifontodlomka"/>
    <w:uiPriority w:val="99"/>
    <w:semiHidden/>
    <w:unhideWhenUsed/>
    <w:rsid w:val="00A82CA9"/>
    <w:rPr>
      <w:color w:val="800080" w:themeColor="followedHyperlink"/>
      <w:u w:val="single"/>
    </w:rPr>
  </w:style>
  <w:style w:type="paragraph" w:styleId="Tekstfusnote">
    <w:name w:val="footnote text"/>
    <w:aliases w:val="stile 1,Footnote,Footnote1,Footnote2,Footnote3,Footnote4,Footnote5,Footnote6,Footnote7,Footnote8,Footnote9,Footnote10,Footnote11,Footnote21,Footnote31,Footnote41,Footnote51,Footnote61,Footnote71,Footnote81,Footnote91"/>
    <w:basedOn w:val="Normal"/>
    <w:link w:val="TekstfusnoteChar"/>
    <w:uiPriority w:val="99"/>
    <w:unhideWhenUsed/>
    <w:rsid w:val="00496922"/>
    <w:pPr>
      <w:spacing w:after="0" w:line="240" w:lineRule="auto"/>
    </w:pPr>
    <w:rPr>
      <w:sz w:val="20"/>
      <w:szCs w:val="20"/>
    </w:rPr>
  </w:style>
  <w:style w:type="character" w:customStyle="1" w:styleId="TekstfusnoteChar">
    <w:name w:val="Tekst fusnote Char"/>
    <w:aliases w:val="stile 1 Char,Footnote Char,Footnote1 Char,Footnote2 Char,Footnote3 Char,Footnote4 Char,Footnote5 Char,Footnote6 Char,Footnote7 Char,Footnote8 Char,Footnote9 Char,Footnote10 Char,Footnote11 Char,Footnote21 Char,Footnote31 Char"/>
    <w:basedOn w:val="Zadanifontodlomka"/>
    <w:link w:val="Tekstfusnote"/>
    <w:uiPriority w:val="99"/>
    <w:rsid w:val="00496922"/>
    <w:rPr>
      <w:sz w:val="20"/>
      <w:szCs w:val="20"/>
    </w:rPr>
  </w:style>
  <w:style w:type="character" w:styleId="Referencafusnote">
    <w:name w:val="footnote reference"/>
    <w:basedOn w:val="Zadanifontodlomka"/>
    <w:uiPriority w:val="99"/>
    <w:unhideWhenUsed/>
    <w:rsid w:val="00496922"/>
    <w:rPr>
      <w:vertAlign w:val="superscript"/>
    </w:rPr>
  </w:style>
  <w:style w:type="character" w:styleId="Naglaeno">
    <w:name w:val="Strong"/>
    <w:basedOn w:val="Zadanifontodlomka"/>
    <w:uiPriority w:val="22"/>
    <w:qFormat/>
    <w:rsid w:val="00B8537B"/>
    <w:rPr>
      <w:b/>
      <w:bCs/>
    </w:rPr>
  </w:style>
  <w:style w:type="character" w:styleId="Tekstrezerviranogmjesta">
    <w:name w:val="Placeholder Text"/>
    <w:basedOn w:val="Zadanifontodlomka"/>
    <w:uiPriority w:val="99"/>
    <w:semiHidden/>
    <w:rsid w:val="00E922F0"/>
    <w:rPr>
      <w:color w:val="808080"/>
    </w:rPr>
  </w:style>
  <w:style w:type="character" w:customStyle="1" w:styleId="Naslov1Char">
    <w:name w:val="Naslov 1 Char"/>
    <w:basedOn w:val="Zadanifontodlomka"/>
    <w:link w:val="Naslov1"/>
    <w:uiPriority w:val="9"/>
    <w:rsid w:val="00E922F0"/>
    <w:rPr>
      <w:rFonts w:asciiTheme="majorHAnsi" w:eastAsiaTheme="majorEastAsia" w:hAnsiTheme="majorHAnsi" w:cstheme="majorBidi"/>
      <w:b/>
      <w:bCs/>
      <w:color w:val="365F91" w:themeColor="accent1" w:themeShade="BF"/>
      <w:sz w:val="28"/>
      <w:szCs w:val="28"/>
      <w:lang w:eastAsia="hr-HR"/>
    </w:rPr>
  </w:style>
  <w:style w:type="paragraph" w:customStyle="1" w:styleId="Default">
    <w:name w:val="Default"/>
    <w:rsid w:val="00523629"/>
    <w:pPr>
      <w:autoSpaceDE w:val="0"/>
      <w:autoSpaceDN w:val="0"/>
      <w:adjustRightInd w:val="0"/>
      <w:spacing w:after="0" w:line="240" w:lineRule="auto"/>
    </w:pPr>
    <w:rPr>
      <w:rFonts w:ascii="Arial" w:hAnsi="Arial" w:cs="Arial"/>
      <w:color w:val="000000"/>
      <w:sz w:val="24"/>
      <w:szCs w:val="24"/>
    </w:rPr>
  </w:style>
  <w:style w:type="paragraph" w:customStyle="1" w:styleId="CM20">
    <w:name w:val="CM20"/>
    <w:basedOn w:val="Default"/>
    <w:next w:val="Default"/>
    <w:uiPriority w:val="99"/>
    <w:rsid w:val="00400768"/>
    <w:pPr>
      <w:spacing w:line="271" w:lineRule="atLeast"/>
    </w:pPr>
    <w:rPr>
      <w:rFonts w:ascii="Garamond" w:hAnsi="Garamond" w:cstheme="minorBidi"/>
      <w:color w:val="auto"/>
    </w:rPr>
  </w:style>
  <w:style w:type="paragraph" w:styleId="StandardWeb">
    <w:name w:val="Normal (Web)"/>
    <w:basedOn w:val="Normal"/>
    <w:uiPriority w:val="99"/>
    <w:unhideWhenUsed/>
    <w:rsid w:val="0046186A"/>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clanak">
    <w:name w:val="clanak"/>
    <w:basedOn w:val="Normal"/>
    <w:rsid w:val="005F55D0"/>
    <w:pPr>
      <w:keepNext/>
      <w:overflowPunct w:val="0"/>
      <w:autoSpaceDE w:val="0"/>
      <w:autoSpaceDN w:val="0"/>
      <w:adjustRightInd w:val="0"/>
      <w:spacing w:before="160" w:after="60" w:line="240" w:lineRule="auto"/>
      <w:jc w:val="both"/>
      <w:textAlignment w:val="baseline"/>
    </w:pPr>
    <w:rPr>
      <w:rFonts w:ascii="Arial" w:eastAsia="Times New Roman" w:hAnsi="Arial" w:cs="Times New Roman"/>
      <w:sz w:val="20"/>
      <w:szCs w:val="20"/>
      <w:lang w:eastAsia="hr-HR"/>
    </w:rPr>
  </w:style>
  <w:style w:type="character" w:customStyle="1" w:styleId="OpisslikeChar">
    <w:name w:val="Opis slike Char"/>
    <w:aliases w:val="Char Char"/>
    <w:basedOn w:val="Zadanifontodlomka"/>
    <w:link w:val="Opisslike"/>
    <w:uiPriority w:val="35"/>
    <w:rsid w:val="005F55D0"/>
    <w:rPr>
      <w:b/>
      <w:bCs/>
      <w:color w:val="4F81BD" w:themeColor="accent1"/>
      <w:sz w:val="18"/>
      <w:szCs w:val="18"/>
    </w:rPr>
  </w:style>
  <w:style w:type="paragraph" w:customStyle="1" w:styleId="t-9-8">
    <w:name w:val="t-9-8"/>
    <w:basedOn w:val="Normal"/>
    <w:rsid w:val="005F55D0"/>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ibliografija">
    <w:name w:val="Bibliography"/>
    <w:basedOn w:val="Normal"/>
    <w:next w:val="Normal"/>
    <w:uiPriority w:val="37"/>
    <w:unhideWhenUsed/>
    <w:rsid w:val="00FB2B17"/>
  </w:style>
  <w:style w:type="paragraph" w:styleId="Tablicaslika">
    <w:name w:val="table of figures"/>
    <w:basedOn w:val="Normal"/>
    <w:next w:val="Normal"/>
    <w:uiPriority w:val="99"/>
    <w:unhideWhenUsed/>
    <w:rsid w:val="009343C8"/>
    <w:pPr>
      <w:spacing w:after="0"/>
    </w:pPr>
  </w:style>
  <w:style w:type="character" w:customStyle="1" w:styleId="Naslov2Char">
    <w:name w:val="Naslov 2 Char"/>
    <w:basedOn w:val="Zadanifontodlomka"/>
    <w:link w:val="Naslov2"/>
    <w:uiPriority w:val="9"/>
    <w:rsid w:val="00B37C59"/>
    <w:rPr>
      <w:rFonts w:asciiTheme="majorHAnsi" w:eastAsiaTheme="majorEastAsia" w:hAnsiTheme="majorHAnsi" w:cstheme="majorBidi"/>
      <w:b/>
      <w:bCs/>
      <w:color w:val="4F81BD" w:themeColor="accent1"/>
      <w:sz w:val="26"/>
      <w:szCs w:val="26"/>
    </w:rPr>
  </w:style>
  <w:style w:type="character" w:customStyle="1" w:styleId="Naslov3Char">
    <w:name w:val="Naslov 3 Char"/>
    <w:basedOn w:val="Zadanifontodlomka"/>
    <w:link w:val="Naslov3"/>
    <w:uiPriority w:val="9"/>
    <w:rsid w:val="00B37C59"/>
    <w:rPr>
      <w:rFonts w:asciiTheme="majorHAnsi" w:eastAsiaTheme="majorEastAsia" w:hAnsiTheme="majorHAnsi" w:cstheme="majorBidi"/>
      <w:b/>
      <w:bCs/>
      <w:color w:val="4F81BD" w:themeColor="accent1"/>
    </w:rPr>
  </w:style>
  <w:style w:type="paragraph" w:styleId="Sadraj1">
    <w:name w:val="toc 1"/>
    <w:basedOn w:val="Normal"/>
    <w:next w:val="Normal"/>
    <w:autoRedefine/>
    <w:uiPriority w:val="39"/>
    <w:unhideWhenUsed/>
    <w:rsid w:val="00C1118F"/>
    <w:pPr>
      <w:spacing w:before="360" w:after="360"/>
    </w:pPr>
    <w:rPr>
      <w:b/>
      <w:bCs/>
      <w:caps/>
      <w:u w:val="single"/>
    </w:rPr>
  </w:style>
  <w:style w:type="paragraph" w:styleId="Sadraj2">
    <w:name w:val="toc 2"/>
    <w:basedOn w:val="Normal"/>
    <w:next w:val="Normal"/>
    <w:autoRedefine/>
    <w:uiPriority w:val="39"/>
    <w:unhideWhenUsed/>
    <w:rsid w:val="00C1118F"/>
    <w:pPr>
      <w:tabs>
        <w:tab w:val="right" w:pos="9062"/>
      </w:tabs>
      <w:spacing w:after="0"/>
    </w:pPr>
    <w:rPr>
      <w:bCs/>
      <w:smallCaps/>
      <w:noProof/>
    </w:rPr>
  </w:style>
  <w:style w:type="paragraph" w:styleId="Sadraj3">
    <w:name w:val="toc 3"/>
    <w:basedOn w:val="Normal"/>
    <w:next w:val="Normal"/>
    <w:autoRedefine/>
    <w:uiPriority w:val="39"/>
    <w:unhideWhenUsed/>
    <w:rsid w:val="00C1118F"/>
    <w:pPr>
      <w:spacing w:after="0"/>
    </w:pPr>
    <w:rPr>
      <w:smallCaps/>
    </w:rPr>
  </w:style>
  <w:style w:type="paragraph" w:styleId="Sadraj4">
    <w:name w:val="toc 4"/>
    <w:basedOn w:val="Normal"/>
    <w:next w:val="Normal"/>
    <w:autoRedefine/>
    <w:uiPriority w:val="39"/>
    <w:unhideWhenUsed/>
    <w:rsid w:val="00C1118F"/>
    <w:pPr>
      <w:spacing w:after="0"/>
    </w:pPr>
  </w:style>
  <w:style w:type="paragraph" w:styleId="Sadraj5">
    <w:name w:val="toc 5"/>
    <w:basedOn w:val="Normal"/>
    <w:next w:val="Normal"/>
    <w:autoRedefine/>
    <w:uiPriority w:val="39"/>
    <w:unhideWhenUsed/>
    <w:rsid w:val="00C1118F"/>
    <w:pPr>
      <w:spacing w:after="0"/>
    </w:pPr>
  </w:style>
  <w:style w:type="paragraph" w:styleId="Sadraj6">
    <w:name w:val="toc 6"/>
    <w:basedOn w:val="Normal"/>
    <w:next w:val="Normal"/>
    <w:autoRedefine/>
    <w:uiPriority w:val="39"/>
    <w:unhideWhenUsed/>
    <w:rsid w:val="00C1118F"/>
    <w:pPr>
      <w:spacing w:after="0"/>
    </w:pPr>
  </w:style>
  <w:style w:type="paragraph" w:styleId="Sadraj7">
    <w:name w:val="toc 7"/>
    <w:basedOn w:val="Normal"/>
    <w:next w:val="Normal"/>
    <w:autoRedefine/>
    <w:uiPriority w:val="39"/>
    <w:unhideWhenUsed/>
    <w:rsid w:val="00C1118F"/>
    <w:pPr>
      <w:spacing w:after="0"/>
    </w:pPr>
  </w:style>
  <w:style w:type="paragraph" w:styleId="Sadraj8">
    <w:name w:val="toc 8"/>
    <w:basedOn w:val="Normal"/>
    <w:next w:val="Normal"/>
    <w:autoRedefine/>
    <w:uiPriority w:val="39"/>
    <w:unhideWhenUsed/>
    <w:rsid w:val="00C1118F"/>
    <w:pPr>
      <w:spacing w:after="0"/>
    </w:pPr>
  </w:style>
  <w:style w:type="paragraph" w:styleId="Sadraj9">
    <w:name w:val="toc 9"/>
    <w:basedOn w:val="Normal"/>
    <w:next w:val="Normal"/>
    <w:autoRedefine/>
    <w:uiPriority w:val="39"/>
    <w:unhideWhenUsed/>
    <w:rsid w:val="00C1118F"/>
    <w:pPr>
      <w:spacing w:after="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Naslov1">
    <w:name w:val="heading 1"/>
    <w:basedOn w:val="Normal"/>
    <w:next w:val="Normal"/>
    <w:link w:val="Naslov1Char"/>
    <w:uiPriority w:val="9"/>
    <w:qFormat/>
    <w:rsid w:val="00E922F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hr-HR"/>
    </w:rPr>
  </w:style>
  <w:style w:type="paragraph" w:styleId="Naslov2">
    <w:name w:val="heading 2"/>
    <w:basedOn w:val="Normal"/>
    <w:next w:val="Normal"/>
    <w:link w:val="Naslov2Char"/>
    <w:uiPriority w:val="9"/>
    <w:unhideWhenUsed/>
    <w:qFormat/>
    <w:rsid w:val="00B37C5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ormal"/>
    <w:next w:val="Normal"/>
    <w:link w:val="Naslov3Char"/>
    <w:uiPriority w:val="9"/>
    <w:unhideWhenUsed/>
    <w:qFormat/>
    <w:rsid w:val="00B37C59"/>
    <w:pPr>
      <w:keepNext/>
      <w:keepLines/>
      <w:spacing w:before="200" w:after="0"/>
      <w:outlineLvl w:val="2"/>
    </w:pPr>
    <w:rPr>
      <w:rFonts w:asciiTheme="majorHAnsi" w:eastAsiaTheme="majorEastAsia" w:hAnsiTheme="majorHAnsi" w:cstheme="majorBidi"/>
      <w:b/>
      <w:bCs/>
      <w:color w:val="4F81BD" w:themeColor="accent1"/>
    </w:rPr>
  </w:style>
  <w:style w:type="character" w:default="1" w:styleId="Zadanifontodlomka">
    <w:name w:val="Default Paragraph Font"/>
    <w:uiPriority w:val="1"/>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binitekst">
    <w:name w:val="Plain Text"/>
    <w:basedOn w:val="Normal"/>
    <w:link w:val="ObinitekstChar"/>
    <w:uiPriority w:val="99"/>
    <w:semiHidden/>
    <w:unhideWhenUsed/>
    <w:rsid w:val="0047735D"/>
    <w:pPr>
      <w:spacing w:after="0" w:line="240" w:lineRule="auto"/>
    </w:pPr>
    <w:rPr>
      <w:rFonts w:ascii="Consolas" w:hAnsi="Consolas" w:cs="Consolas"/>
      <w:sz w:val="21"/>
      <w:szCs w:val="21"/>
    </w:rPr>
  </w:style>
  <w:style w:type="character" w:customStyle="1" w:styleId="ObinitekstChar">
    <w:name w:val="Obični tekst Char"/>
    <w:basedOn w:val="Zadanifontodlomka"/>
    <w:link w:val="Obinitekst"/>
    <w:uiPriority w:val="99"/>
    <w:semiHidden/>
    <w:rsid w:val="0047735D"/>
    <w:rPr>
      <w:rFonts w:ascii="Consolas" w:hAnsi="Consolas" w:cs="Consolas"/>
      <w:sz w:val="21"/>
      <w:szCs w:val="21"/>
    </w:rPr>
  </w:style>
  <w:style w:type="character" w:styleId="Referencakomentara">
    <w:name w:val="annotation reference"/>
    <w:rsid w:val="0047735D"/>
    <w:rPr>
      <w:sz w:val="16"/>
      <w:szCs w:val="16"/>
    </w:rPr>
  </w:style>
  <w:style w:type="paragraph" w:styleId="Tekstkomentara">
    <w:name w:val="annotation text"/>
    <w:basedOn w:val="Normal"/>
    <w:link w:val="TekstkomentaraChar"/>
    <w:rsid w:val="0047735D"/>
    <w:pPr>
      <w:spacing w:after="0" w:line="240" w:lineRule="auto"/>
    </w:pPr>
    <w:rPr>
      <w:rFonts w:ascii="Times New Roman" w:eastAsia="Times New Roman" w:hAnsi="Times New Roman" w:cs="Times New Roman"/>
      <w:sz w:val="20"/>
      <w:szCs w:val="20"/>
      <w:lang w:eastAsia="hr-HR"/>
    </w:rPr>
  </w:style>
  <w:style w:type="character" w:customStyle="1" w:styleId="TekstkomentaraChar">
    <w:name w:val="Tekst komentara Char"/>
    <w:basedOn w:val="Zadanifontodlomka"/>
    <w:link w:val="Tekstkomentara"/>
    <w:rsid w:val="0047735D"/>
    <w:rPr>
      <w:rFonts w:ascii="Times New Roman" w:eastAsia="Times New Roman" w:hAnsi="Times New Roman" w:cs="Times New Roman"/>
      <w:sz w:val="20"/>
      <w:szCs w:val="20"/>
      <w:lang w:eastAsia="hr-HR"/>
    </w:rPr>
  </w:style>
  <w:style w:type="paragraph" w:styleId="Tekstbalonia">
    <w:name w:val="Balloon Text"/>
    <w:basedOn w:val="Normal"/>
    <w:link w:val="TekstbaloniaChar"/>
    <w:uiPriority w:val="99"/>
    <w:semiHidden/>
    <w:unhideWhenUsed/>
    <w:rsid w:val="0047735D"/>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47735D"/>
    <w:rPr>
      <w:rFonts w:ascii="Tahoma" w:hAnsi="Tahoma" w:cs="Tahoma"/>
      <w:sz w:val="16"/>
      <w:szCs w:val="16"/>
    </w:rPr>
  </w:style>
  <w:style w:type="paragraph" w:styleId="Predmetkomentara">
    <w:name w:val="annotation subject"/>
    <w:basedOn w:val="Tekstkomentara"/>
    <w:next w:val="Tekstkomentara"/>
    <w:link w:val="PredmetkomentaraChar"/>
    <w:uiPriority w:val="99"/>
    <w:semiHidden/>
    <w:unhideWhenUsed/>
    <w:rsid w:val="00F65030"/>
    <w:pPr>
      <w:spacing w:after="200"/>
    </w:pPr>
    <w:rPr>
      <w:rFonts w:asciiTheme="minorHAnsi" w:eastAsiaTheme="minorHAnsi" w:hAnsiTheme="minorHAnsi" w:cstheme="minorBidi"/>
      <w:b/>
      <w:bCs/>
      <w:lang w:eastAsia="en-US"/>
    </w:rPr>
  </w:style>
  <w:style w:type="character" w:customStyle="1" w:styleId="PredmetkomentaraChar">
    <w:name w:val="Predmet komentara Char"/>
    <w:basedOn w:val="TekstkomentaraChar"/>
    <w:link w:val="Predmetkomentara"/>
    <w:uiPriority w:val="99"/>
    <w:semiHidden/>
    <w:rsid w:val="00F65030"/>
    <w:rPr>
      <w:rFonts w:ascii="Times New Roman" w:eastAsia="Times New Roman" w:hAnsi="Times New Roman" w:cs="Times New Roman"/>
      <w:b/>
      <w:bCs/>
      <w:sz w:val="20"/>
      <w:szCs w:val="20"/>
      <w:lang w:eastAsia="hr-HR"/>
    </w:rPr>
  </w:style>
  <w:style w:type="paragraph" w:styleId="Odlomakpopisa">
    <w:name w:val="List Paragraph"/>
    <w:basedOn w:val="Normal"/>
    <w:uiPriority w:val="34"/>
    <w:qFormat/>
    <w:rsid w:val="00F65030"/>
    <w:pPr>
      <w:ind w:left="720"/>
      <w:contextualSpacing/>
    </w:pPr>
  </w:style>
  <w:style w:type="character" w:styleId="Hiperveza">
    <w:name w:val="Hyperlink"/>
    <w:basedOn w:val="Zadanifontodlomka"/>
    <w:uiPriority w:val="99"/>
    <w:unhideWhenUsed/>
    <w:rsid w:val="00CB7BCB"/>
    <w:rPr>
      <w:color w:val="0000FF" w:themeColor="hyperlink"/>
      <w:u w:val="single"/>
    </w:rPr>
  </w:style>
  <w:style w:type="paragraph" w:styleId="Opisslike">
    <w:name w:val="caption"/>
    <w:aliases w:val="Char"/>
    <w:basedOn w:val="Normal"/>
    <w:next w:val="Normal"/>
    <w:link w:val="OpisslikeChar"/>
    <w:uiPriority w:val="35"/>
    <w:unhideWhenUsed/>
    <w:qFormat/>
    <w:rsid w:val="00C067CC"/>
    <w:pPr>
      <w:spacing w:line="240" w:lineRule="auto"/>
    </w:pPr>
    <w:rPr>
      <w:b/>
      <w:bCs/>
      <w:color w:val="4F81BD" w:themeColor="accent1"/>
      <w:sz w:val="18"/>
      <w:szCs w:val="18"/>
    </w:rPr>
  </w:style>
  <w:style w:type="table" w:styleId="Reetkatablice">
    <w:name w:val="Table Grid"/>
    <w:basedOn w:val="Obinatablica"/>
    <w:rsid w:val="00964E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tab-span">
    <w:name w:val="apple-tab-span"/>
    <w:basedOn w:val="Zadanifontodlomka"/>
    <w:rsid w:val="002C349E"/>
  </w:style>
  <w:style w:type="character" w:customStyle="1" w:styleId="apple-style-span">
    <w:name w:val="apple-style-span"/>
    <w:basedOn w:val="Zadanifontodlomka"/>
    <w:rsid w:val="003A316D"/>
  </w:style>
  <w:style w:type="character" w:styleId="SlijeenaHiperveza">
    <w:name w:val="FollowedHyperlink"/>
    <w:basedOn w:val="Zadanifontodlomka"/>
    <w:uiPriority w:val="99"/>
    <w:semiHidden/>
    <w:unhideWhenUsed/>
    <w:rsid w:val="00A82CA9"/>
    <w:rPr>
      <w:color w:val="800080" w:themeColor="followedHyperlink"/>
      <w:u w:val="single"/>
    </w:rPr>
  </w:style>
  <w:style w:type="paragraph" w:styleId="Tekstfusnote">
    <w:name w:val="footnote text"/>
    <w:aliases w:val="stile 1,Footnote,Footnote1,Footnote2,Footnote3,Footnote4,Footnote5,Footnote6,Footnote7,Footnote8,Footnote9,Footnote10,Footnote11,Footnote21,Footnote31,Footnote41,Footnote51,Footnote61,Footnote71,Footnote81,Footnote91"/>
    <w:basedOn w:val="Normal"/>
    <w:link w:val="TekstfusnoteChar"/>
    <w:uiPriority w:val="99"/>
    <w:unhideWhenUsed/>
    <w:rsid w:val="00496922"/>
    <w:pPr>
      <w:spacing w:after="0" w:line="240" w:lineRule="auto"/>
    </w:pPr>
    <w:rPr>
      <w:sz w:val="20"/>
      <w:szCs w:val="20"/>
    </w:rPr>
  </w:style>
  <w:style w:type="character" w:customStyle="1" w:styleId="TekstfusnoteChar">
    <w:name w:val="Tekst fusnote Char"/>
    <w:aliases w:val="stile 1 Char,Footnote Char,Footnote1 Char,Footnote2 Char,Footnote3 Char,Footnote4 Char,Footnote5 Char,Footnote6 Char,Footnote7 Char,Footnote8 Char,Footnote9 Char,Footnote10 Char,Footnote11 Char,Footnote21 Char,Footnote31 Char"/>
    <w:basedOn w:val="Zadanifontodlomka"/>
    <w:link w:val="Tekstfusnote"/>
    <w:uiPriority w:val="99"/>
    <w:rsid w:val="00496922"/>
    <w:rPr>
      <w:sz w:val="20"/>
      <w:szCs w:val="20"/>
    </w:rPr>
  </w:style>
  <w:style w:type="character" w:styleId="Referencafusnote">
    <w:name w:val="footnote reference"/>
    <w:basedOn w:val="Zadanifontodlomka"/>
    <w:uiPriority w:val="99"/>
    <w:unhideWhenUsed/>
    <w:rsid w:val="00496922"/>
    <w:rPr>
      <w:vertAlign w:val="superscript"/>
    </w:rPr>
  </w:style>
  <w:style w:type="character" w:styleId="Naglaeno">
    <w:name w:val="Strong"/>
    <w:basedOn w:val="Zadanifontodlomka"/>
    <w:uiPriority w:val="22"/>
    <w:qFormat/>
    <w:rsid w:val="00B8537B"/>
    <w:rPr>
      <w:b/>
      <w:bCs/>
    </w:rPr>
  </w:style>
  <w:style w:type="character" w:styleId="Tekstrezerviranogmjesta">
    <w:name w:val="Placeholder Text"/>
    <w:basedOn w:val="Zadanifontodlomka"/>
    <w:uiPriority w:val="99"/>
    <w:semiHidden/>
    <w:rsid w:val="00E922F0"/>
    <w:rPr>
      <w:color w:val="808080"/>
    </w:rPr>
  </w:style>
  <w:style w:type="character" w:customStyle="1" w:styleId="Naslov1Char">
    <w:name w:val="Naslov 1 Char"/>
    <w:basedOn w:val="Zadanifontodlomka"/>
    <w:link w:val="Naslov1"/>
    <w:uiPriority w:val="9"/>
    <w:rsid w:val="00E922F0"/>
    <w:rPr>
      <w:rFonts w:asciiTheme="majorHAnsi" w:eastAsiaTheme="majorEastAsia" w:hAnsiTheme="majorHAnsi" w:cstheme="majorBidi"/>
      <w:b/>
      <w:bCs/>
      <w:color w:val="365F91" w:themeColor="accent1" w:themeShade="BF"/>
      <w:sz w:val="28"/>
      <w:szCs w:val="28"/>
      <w:lang w:eastAsia="hr-HR"/>
    </w:rPr>
  </w:style>
  <w:style w:type="paragraph" w:customStyle="1" w:styleId="Default">
    <w:name w:val="Default"/>
    <w:rsid w:val="00523629"/>
    <w:pPr>
      <w:autoSpaceDE w:val="0"/>
      <w:autoSpaceDN w:val="0"/>
      <w:adjustRightInd w:val="0"/>
      <w:spacing w:after="0" w:line="240" w:lineRule="auto"/>
    </w:pPr>
    <w:rPr>
      <w:rFonts w:ascii="Arial" w:hAnsi="Arial" w:cs="Arial"/>
      <w:color w:val="000000"/>
      <w:sz w:val="24"/>
      <w:szCs w:val="24"/>
    </w:rPr>
  </w:style>
  <w:style w:type="paragraph" w:customStyle="1" w:styleId="CM20">
    <w:name w:val="CM20"/>
    <w:basedOn w:val="Default"/>
    <w:next w:val="Default"/>
    <w:uiPriority w:val="99"/>
    <w:rsid w:val="00400768"/>
    <w:pPr>
      <w:spacing w:line="271" w:lineRule="atLeast"/>
    </w:pPr>
    <w:rPr>
      <w:rFonts w:ascii="Garamond" w:hAnsi="Garamond" w:cstheme="minorBidi"/>
      <w:color w:val="auto"/>
    </w:rPr>
  </w:style>
  <w:style w:type="paragraph" w:styleId="StandardWeb">
    <w:name w:val="Normal (Web)"/>
    <w:basedOn w:val="Normal"/>
    <w:uiPriority w:val="99"/>
    <w:unhideWhenUsed/>
    <w:rsid w:val="0046186A"/>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clanak">
    <w:name w:val="clanak"/>
    <w:basedOn w:val="Normal"/>
    <w:rsid w:val="005F55D0"/>
    <w:pPr>
      <w:keepNext/>
      <w:overflowPunct w:val="0"/>
      <w:autoSpaceDE w:val="0"/>
      <w:autoSpaceDN w:val="0"/>
      <w:adjustRightInd w:val="0"/>
      <w:spacing w:before="160" w:after="60" w:line="240" w:lineRule="auto"/>
      <w:jc w:val="both"/>
      <w:textAlignment w:val="baseline"/>
    </w:pPr>
    <w:rPr>
      <w:rFonts w:ascii="Arial" w:eastAsia="Times New Roman" w:hAnsi="Arial" w:cs="Times New Roman"/>
      <w:sz w:val="20"/>
      <w:szCs w:val="20"/>
      <w:lang w:eastAsia="hr-HR"/>
    </w:rPr>
  </w:style>
  <w:style w:type="character" w:customStyle="1" w:styleId="OpisslikeChar">
    <w:name w:val="Opis slike Char"/>
    <w:aliases w:val="Char Char"/>
    <w:basedOn w:val="Zadanifontodlomka"/>
    <w:link w:val="Opisslike"/>
    <w:uiPriority w:val="35"/>
    <w:rsid w:val="005F55D0"/>
    <w:rPr>
      <w:b/>
      <w:bCs/>
      <w:color w:val="4F81BD" w:themeColor="accent1"/>
      <w:sz w:val="18"/>
      <w:szCs w:val="18"/>
    </w:rPr>
  </w:style>
  <w:style w:type="paragraph" w:customStyle="1" w:styleId="t-9-8">
    <w:name w:val="t-9-8"/>
    <w:basedOn w:val="Normal"/>
    <w:rsid w:val="005F55D0"/>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ibliografija">
    <w:name w:val="Bibliography"/>
    <w:basedOn w:val="Normal"/>
    <w:next w:val="Normal"/>
    <w:uiPriority w:val="37"/>
    <w:unhideWhenUsed/>
    <w:rsid w:val="00FB2B17"/>
  </w:style>
  <w:style w:type="paragraph" w:styleId="Tablicaslika">
    <w:name w:val="table of figures"/>
    <w:basedOn w:val="Normal"/>
    <w:next w:val="Normal"/>
    <w:uiPriority w:val="99"/>
    <w:unhideWhenUsed/>
    <w:rsid w:val="009343C8"/>
    <w:pPr>
      <w:spacing w:after="0"/>
    </w:pPr>
  </w:style>
  <w:style w:type="character" w:customStyle="1" w:styleId="Naslov2Char">
    <w:name w:val="Naslov 2 Char"/>
    <w:basedOn w:val="Zadanifontodlomka"/>
    <w:link w:val="Naslov2"/>
    <w:uiPriority w:val="9"/>
    <w:rsid w:val="00B37C59"/>
    <w:rPr>
      <w:rFonts w:asciiTheme="majorHAnsi" w:eastAsiaTheme="majorEastAsia" w:hAnsiTheme="majorHAnsi" w:cstheme="majorBidi"/>
      <w:b/>
      <w:bCs/>
      <w:color w:val="4F81BD" w:themeColor="accent1"/>
      <w:sz w:val="26"/>
      <w:szCs w:val="26"/>
    </w:rPr>
  </w:style>
  <w:style w:type="character" w:customStyle="1" w:styleId="Naslov3Char">
    <w:name w:val="Naslov 3 Char"/>
    <w:basedOn w:val="Zadanifontodlomka"/>
    <w:link w:val="Naslov3"/>
    <w:uiPriority w:val="9"/>
    <w:rsid w:val="00B37C59"/>
    <w:rPr>
      <w:rFonts w:asciiTheme="majorHAnsi" w:eastAsiaTheme="majorEastAsia" w:hAnsiTheme="majorHAnsi" w:cstheme="majorBidi"/>
      <w:b/>
      <w:bCs/>
      <w:color w:val="4F81BD" w:themeColor="accent1"/>
    </w:rPr>
  </w:style>
  <w:style w:type="paragraph" w:styleId="Sadraj1">
    <w:name w:val="toc 1"/>
    <w:basedOn w:val="Normal"/>
    <w:next w:val="Normal"/>
    <w:autoRedefine/>
    <w:uiPriority w:val="39"/>
    <w:unhideWhenUsed/>
    <w:rsid w:val="00C1118F"/>
    <w:pPr>
      <w:spacing w:before="360" w:after="360"/>
    </w:pPr>
    <w:rPr>
      <w:b/>
      <w:bCs/>
      <w:caps/>
      <w:u w:val="single"/>
    </w:rPr>
  </w:style>
  <w:style w:type="paragraph" w:styleId="Sadraj2">
    <w:name w:val="toc 2"/>
    <w:basedOn w:val="Normal"/>
    <w:next w:val="Normal"/>
    <w:autoRedefine/>
    <w:uiPriority w:val="39"/>
    <w:unhideWhenUsed/>
    <w:rsid w:val="00C1118F"/>
    <w:pPr>
      <w:tabs>
        <w:tab w:val="right" w:pos="9062"/>
      </w:tabs>
      <w:spacing w:after="0"/>
    </w:pPr>
    <w:rPr>
      <w:bCs/>
      <w:smallCaps/>
      <w:noProof/>
    </w:rPr>
  </w:style>
  <w:style w:type="paragraph" w:styleId="Sadraj3">
    <w:name w:val="toc 3"/>
    <w:basedOn w:val="Normal"/>
    <w:next w:val="Normal"/>
    <w:autoRedefine/>
    <w:uiPriority w:val="39"/>
    <w:unhideWhenUsed/>
    <w:rsid w:val="00C1118F"/>
    <w:pPr>
      <w:spacing w:after="0"/>
    </w:pPr>
    <w:rPr>
      <w:smallCaps/>
    </w:rPr>
  </w:style>
  <w:style w:type="paragraph" w:styleId="Sadraj4">
    <w:name w:val="toc 4"/>
    <w:basedOn w:val="Normal"/>
    <w:next w:val="Normal"/>
    <w:autoRedefine/>
    <w:uiPriority w:val="39"/>
    <w:unhideWhenUsed/>
    <w:rsid w:val="00C1118F"/>
    <w:pPr>
      <w:spacing w:after="0"/>
    </w:pPr>
  </w:style>
  <w:style w:type="paragraph" w:styleId="Sadraj5">
    <w:name w:val="toc 5"/>
    <w:basedOn w:val="Normal"/>
    <w:next w:val="Normal"/>
    <w:autoRedefine/>
    <w:uiPriority w:val="39"/>
    <w:unhideWhenUsed/>
    <w:rsid w:val="00C1118F"/>
    <w:pPr>
      <w:spacing w:after="0"/>
    </w:pPr>
  </w:style>
  <w:style w:type="paragraph" w:styleId="Sadraj6">
    <w:name w:val="toc 6"/>
    <w:basedOn w:val="Normal"/>
    <w:next w:val="Normal"/>
    <w:autoRedefine/>
    <w:uiPriority w:val="39"/>
    <w:unhideWhenUsed/>
    <w:rsid w:val="00C1118F"/>
    <w:pPr>
      <w:spacing w:after="0"/>
    </w:pPr>
  </w:style>
  <w:style w:type="paragraph" w:styleId="Sadraj7">
    <w:name w:val="toc 7"/>
    <w:basedOn w:val="Normal"/>
    <w:next w:val="Normal"/>
    <w:autoRedefine/>
    <w:uiPriority w:val="39"/>
    <w:unhideWhenUsed/>
    <w:rsid w:val="00C1118F"/>
    <w:pPr>
      <w:spacing w:after="0"/>
    </w:pPr>
  </w:style>
  <w:style w:type="paragraph" w:styleId="Sadraj8">
    <w:name w:val="toc 8"/>
    <w:basedOn w:val="Normal"/>
    <w:next w:val="Normal"/>
    <w:autoRedefine/>
    <w:uiPriority w:val="39"/>
    <w:unhideWhenUsed/>
    <w:rsid w:val="00C1118F"/>
    <w:pPr>
      <w:spacing w:after="0"/>
    </w:pPr>
  </w:style>
  <w:style w:type="paragraph" w:styleId="Sadraj9">
    <w:name w:val="toc 9"/>
    <w:basedOn w:val="Normal"/>
    <w:next w:val="Normal"/>
    <w:autoRedefine/>
    <w:uiPriority w:val="39"/>
    <w:unhideWhenUsed/>
    <w:rsid w:val="00C1118F"/>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041145">
      <w:bodyDiv w:val="1"/>
      <w:marLeft w:val="0"/>
      <w:marRight w:val="0"/>
      <w:marTop w:val="0"/>
      <w:marBottom w:val="0"/>
      <w:divBdr>
        <w:top w:val="none" w:sz="0" w:space="0" w:color="auto"/>
        <w:left w:val="none" w:sz="0" w:space="0" w:color="auto"/>
        <w:bottom w:val="none" w:sz="0" w:space="0" w:color="auto"/>
        <w:right w:val="none" w:sz="0" w:space="0" w:color="auto"/>
      </w:divBdr>
    </w:div>
    <w:div w:id="112941824">
      <w:bodyDiv w:val="1"/>
      <w:marLeft w:val="0"/>
      <w:marRight w:val="0"/>
      <w:marTop w:val="0"/>
      <w:marBottom w:val="0"/>
      <w:divBdr>
        <w:top w:val="none" w:sz="0" w:space="0" w:color="auto"/>
        <w:left w:val="none" w:sz="0" w:space="0" w:color="auto"/>
        <w:bottom w:val="none" w:sz="0" w:space="0" w:color="auto"/>
        <w:right w:val="none" w:sz="0" w:space="0" w:color="auto"/>
      </w:divBdr>
    </w:div>
    <w:div w:id="179704289">
      <w:bodyDiv w:val="1"/>
      <w:marLeft w:val="0"/>
      <w:marRight w:val="0"/>
      <w:marTop w:val="0"/>
      <w:marBottom w:val="0"/>
      <w:divBdr>
        <w:top w:val="none" w:sz="0" w:space="0" w:color="auto"/>
        <w:left w:val="none" w:sz="0" w:space="0" w:color="auto"/>
        <w:bottom w:val="none" w:sz="0" w:space="0" w:color="auto"/>
        <w:right w:val="none" w:sz="0" w:space="0" w:color="auto"/>
      </w:divBdr>
    </w:div>
    <w:div w:id="221215056">
      <w:bodyDiv w:val="1"/>
      <w:marLeft w:val="0"/>
      <w:marRight w:val="0"/>
      <w:marTop w:val="0"/>
      <w:marBottom w:val="0"/>
      <w:divBdr>
        <w:top w:val="none" w:sz="0" w:space="0" w:color="auto"/>
        <w:left w:val="none" w:sz="0" w:space="0" w:color="auto"/>
        <w:bottom w:val="none" w:sz="0" w:space="0" w:color="auto"/>
        <w:right w:val="none" w:sz="0" w:space="0" w:color="auto"/>
      </w:divBdr>
    </w:div>
    <w:div w:id="387076542">
      <w:bodyDiv w:val="1"/>
      <w:marLeft w:val="0"/>
      <w:marRight w:val="0"/>
      <w:marTop w:val="0"/>
      <w:marBottom w:val="0"/>
      <w:divBdr>
        <w:top w:val="none" w:sz="0" w:space="0" w:color="auto"/>
        <w:left w:val="none" w:sz="0" w:space="0" w:color="auto"/>
        <w:bottom w:val="none" w:sz="0" w:space="0" w:color="auto"/>
        <w:right w:val="none" w:sz="0" w:space="0" w:color="auto"/>
      </w:divBdr>
    </w:div>
    <w:div w:id="426312919">
      <w:bodyDiv w:val="1"/>
      <w:marLeft w:val="0"/>
      <w:marRight w:val="0"/>
      <w:marTop w:val="0"/>
      <w:marBottom w:val="0"/>
      <w:divBdr>
        <w:top w:val="none" w:sz="0" w:space="0" w:color="auto"/>
        <w:left w:val="none" w:sz="0" w:space="0" w:color="auto"/>
        <w:bottom w:val="none" w:sz="0" w:space="0" w:color="auto"/>
        <w:right w:val="none" w:sz="0" w:space="0" w:color="auto"/>
      </w:divBdr>
    </w:div>
    <w:div w:id="426968517">
      <w:bodyDiv w:val="1"/>
      <w:marLeft w:val="0"/>
      <w:marRight w:val="0"/>
      <w:marTop w:val="0"/>
      <w:marBottom w:val="0"/>
      <w:divBdr>
        <w:top w:val="none" w:sz="0" w:space="0" w:color="auto"/>
        <w:left w:val="none" w:sz="0" w:space="0" w:color="auto"/>
        <w:bottom w:val="none" w:sz="0" w:space="0" w:color="auto"/>
        <w:right w:val="none" w:sz="0" w:space="0" w:color="auto"/>
      </w:divBdr>
    </w:div>
    <w:div w:id="545724194">
      <w:bodyDiv w:val="1"/>
      <w:marLeft w:val="0"/>
      <w:marRight w:val="0"/>
      <w:marTop w:val="0"/>
      <w:marBottom w:val="0"/>
      <w:divBdr>
        <w:top w:val="none" w:sz="0" w:space="0" w:color="auto"/>
        <w:left w:val="none" w:sz="0" w:space="0" w:color="auto"/>
        <w:bottom w:val="none" w:sz="0" w:space="0" w:color="auto"/>
        <w:right w:val="none" w:sz="0" w:space="0" w:color="auto"/>
      </w:divBdr>
    </w:div>
    <w:div w:id="643849570">
      <w:bodyDiv w:val="1"/>
      <w:marLeft w:val="0"/>
      <w:marRight w:val="0"/>
      <w:marTop w:val="0"/>
      <w:marBottom w:val="0"/>
      <w:divBdr>
        <w:top w:val="none" w:sz="0" w:space="0" w:color="auto"/>
        <w:left w:val="none" w:sz="0" w:space="0" w:color="auto"/>
        <w:bottom w:val="none" w:sz="0" w:space="0" w:color="auto"/>
        <w:right w:val="none" w:sz="0" w:space="0" w:color="auto"/>
      </w:divBdr>
    </w:div>
    <w:div w:id="708721785">
      <w:bodyDiv w:val="1"/>
      <w:marLeft w:val="0"/>
      <w:marRight w:val="0"/>
      <w:marTop w:val="0"/>
      <w:marBottom w:val="0"/>
      <w:divBdr>
        <w:top w:val="none" w:sz="0" w:space="0" w:color="auto"/>
        <w:left w:val="none" w:sz="0" w:space="0" w:color="auto"/>
        <w:bottom w:val="none" w:sz="0" w:space="0" w:color="auto"/>
        <w:right w:val="none" w:sz="0" w:space="0" w:color="auto"/>
      </w:divBdr>
    </w:div>
    <w:div w:id="711659310">
      <w:bodyDiv w:val="1"/>
      <w:marLeft w:val="0"/>
      <w:marRight w:val="0"/>
      <w:marTop w:val="0"/>
      <w:marBottom w:val="0"/>
      <w:divBdr>
        <w:top w:val="none" w:sz="0" w:space="0" w:color="auto"/>
        <w:left w:val="none" w:sz="0" w:space="0" w:color="auto"/>
        <w:bottom w:val="none" w:sz="0" w:space="0" w:color="auto"/>
        <w:right w:val="none" w:sz="0" w:space="0" w:color="auto"/>
      </w:divBdr>
    </w:div>
    <w:div w:id="726611892">
      <w:bodyDiv w:val="1"/>
      <w:marLeft w:val="0"/>
      <w:marRight w:val="0"/>
      <w:marTop w:val="0"/>
      <w:marBottom w:val="0"/>
      <w:divBdr>
        <w:top w:val="none" w:sz="0" w:space="0" w:color="auto"/>
        <w:left w:val="none" w:sz="0" w:space="0" w:color="auto"/>
        <w:bottom w:val="none" w:sz="0" w:space="0" w:color="auto"/>
        <w:right w:val="none" w:sz="0" w:space="0" w:color="auto"/>
      </w:divBdr>
    </w:div>
    <w:div w:id="745760096">
      <w:bodyDiv w:val="1"/>
      <w:marLeft w:val="0"/>
      <w:marRight w:val="0"/>
      <w:marTop w:val="0"/>
      <w:marBottom w:val="0"/>
      <w:divBdr>
        <w:top w:val="none" w:sz="0" w:space="0" w:color="auto"/>
        <w:left w:val="none" w:sz="0" w:space="0" w:color="auto"/>
        <w:bottom w:val="none" w:sz="0" w:space="0" w:color="auto"/>
        <w:right w:val="none" w:sz="0" w:space="0" w:color="auto"/>
      </w:divBdr>
    </w:div>
    <w:div w:id="871189267">
      <w:bodyDiv w:val="1"/>
      <w:marLeft w:val="0"/>
      <w:marRight w:val="0"/>
      <w:marTop w:val="0"/>
      <w:marBottom w:val="0"/>
      <w:divBdr>
        <w:top w:val="none" w:sz="0" w:space="0" w:color="auto"/>
        <w:left w:val="none" w:sz="0" w:space="0" w:color="auto"/>
        <w:bottom w:val="none" w:sz="0" w:space="0" w:color="auto"/>
        <w:right w:val="none" w:sz="0" w:space="0" w:color="auto"/>
      </w:divBdr>
    </w:div>
    <w:div w:id="901213663">
      <w:bodyDiv w:val="1"/>
      <w:marLeft w:val="0"/>
      <w:marRight w:val="0"/>
      <w:marTop w:val="0"/>
      <w:marBottom w:val="0"/>
      <w:divBdr>
        <w:top w:val="none" w:sz="0" w:space="0" w:color="auto"/>
        <w:left w:val="none" w:sz="0" w:space="0" w:color="auto"/>
        <w:bottom w:val="none" w:sz="0" w:space="0" w:color="auto"/>
        <w:right w:val="none" w:sz="0" w:space="0" w:color="auto"/>
      </w:divBdr>
    </w:div>
    <w:div w:id="1020545401">
      <w:bodyDiv w:val="1"/>
      <w:marLeft w:val="0"/>
      <w:marRight w:val="0"/>
      <w:marTop w:val="0"/>
      <w:marBottom w:val="0"/>
      <w:divBdr>
        <w:top w:val="none" w:sz="0" w:space="0" w:color="auto"/>
        <w:left w:val="none" w:sz="0" w:space="0" w:color="auto"/>
        <w:bottom w:val="none" w:sz="0" w:space="0" w:color="auto"/>
        <w:right w:val="none" w:sz="0" w:space="0" w:color="auto"/>
      </w:divBdr>
    </w:div>
    <w:div w:id="1073770705">
      <w:bodyDiv w:val="1"/>
      <w:marLeft w:val="0"/>
      <w:marRight w:val="0"/>
      <w:marTop w:val="0"/>
      <w:marBottom w:val="0"/>
      <w:divBdr>
        <w:top w:val="none" w:sz="0" w:space="0" w:color="auto"/>
        <w:left w:val="none" w:sz="0" w:space="0" w:color="auto"/>
        <w:bottom w:val="none" w:sz="0" w:space="0" w:color="auto"/>
        <w:right w:val="none" w:sz="0" w:space="0" w:color="auto"/>
      </w:divBdr>
    </w:div>
    <w:div w:id="1087925844">
      <w:bodyDiv w:val="1"/>
      <w:marLeft w:val="0"/>
      <w:marRight w:val="0"/>
      <w:marTop w:val="0"/>
      <w:marBottom w:val="0"/>
      <w:divBdr>
        <w:top w:val="none" w:sz="0" w:space="0" w:color="auto"/>
        <w:left w:val="none" w:sz="0" w:space="0" w:color="auto"/>
        <w:bottom w:val="none" w:sz="0" w:space="0" w:color="auto"/>
        <w:right w:val="none" w:sz="0" w:space="0" w:color="auto"/>
      </w:divBdr>
    </w:div>
    <w:div w:id="1101025642">
      <w:bodyDiv w:val="1"/>
      <w:marLeft w:val="0"/>
      <w:marRight w:val="0"/>
      <w:marTop w:val="0"/>
      <w:marBottom w:val="0"/>
      <w:divBdr>
        <w:top w:val="none" w:sz="0" w:space="0" w:color="auto"/>
        <w:left w:val="none" w:sz="0" w:space="0" w:color="auto"/>
        <w:bottom w:val="none" w:sz="0" w:space="0" w:color="auto"/>
        <w:right w:val="none" w:sz="0" w:space="0" w:color="auto"/>
      </w:divBdr>
    </w:div>
    <w:div w:id="1135098786">
      <w:bodyDiv w:val="1"/>
      <w:marLeft w:val="0"/>
      <w:marRight w:val="0"/>
      <w:marTop w:val="0"/>
      <w:marBottom w:val="0"/>
      <w:divBdr>
        <w:top w:val="none" w:sz="0" w:space="0" w:color="auto"/>
        <w:left w:val="none" w:sz="0" w:space="0" w:color="auto"/>
        <w:bottom w:val="none" w:sz="0" w:space="0" w:color="auto"/>
        <w:right w:val="none" w:sz="0" w:space="0" w:color="auto"/>
      </w:divBdr>
    </w:div>
    <w:div w:id="1174682424">
      <w:bodyDiv w:val="1"/>
      <w:marLeft w:val="0"/>
      <w:marRight w:val="0"/>
      <w:marTop w:val="0"/>
      <w:marBottom w:val="0"/>
      <w:divBdr>
        <w:top w:val="none" w:sz="0" w:space="0" w:color="auto"/>
        <w:left w:val="none" w:sz="0" w:space="0" w:color="auto"/>
        <w:bottom w:val="none" w:sz="0" w:space="0" w:color="auto"/>
        <w:right w:val="none" w:sz="0" w:space="0" w:color="auto"/>
      </w:divBdr>
    </w:div>
    <w:div w:id="1236939456">
      <w:bodyDiv w:val="1"/>
      <w:marLeft w:val="0"/>
      <w:marRight w:val="0"/>
      <w:marTop w:val="0"/>
      <w:marBottom w:val="0"/>
      <w:divBdr>
        <w:top w:val="none" w:sz="0" w:space="0" w:color="auto"/>
        <w:left w:val="none" w:sz="0" w:space="0" w:color="auto"/>
        <w:bottom w:val="none" w:sz="0" w:space="0" w:color="auto"/>
        <w:right w:val="none" w:sz="0" w:space="0" w:color="auto"/>
      </w:divBdr>
    </w:div>
    <w:div w:id="1288272292">
      <w:bodyDiv w:val="1"/>
      <w:marLeft w:val="0"/>
      <w:marRight w:val="0"/>
      <w:marTop w:val="0"/>
      <w:marBottom w:val="0"/>
      <w:divBdr>
        <w:top w:val="none" w:sz="0" w:space="0" w:color="auto"/>
        <w:left w:val="none" w:sz="0" w:space="0" w:color="auto"/>
        <w:bottom w:val="none" w:sz="0" w:space="0" w:color="auto"/>
        <w:right w:val="none" w:sz="0" w:space="0" w:color="auto"/>
      </w:divBdr>
    </w:div>
    <w:div w:id="1294947728">
      <w:bodyDiv w:val="1"/>
      <w:marLeft w:val="0"/>
      <w:marRight w:val="0"/>
      <w:marTop w:val="0"/>
      <w:marBottom w:val="0"/>
      <w:divBdr>
        <w:top w:val="none" w:sz="0" w:space="0" w:color="auto"/>
        <w:left w:val="none" w:sz="0" w:space="0" w:color="auto"/>
        <w:bottom w:val="none" w:sz="0" w:space="0" w:color="auto"/>
        <w:right w:val="none" w:sz="0" w:space="0" w:color="auto"/>
      </w:divBdr>
    </w:div>
    <w:div w:id="1313172748">
      <w:bodyDiv w:val="1"/>
      <w:marLeft w:val="0"/>
      <w:marRight w:val="0"/>
      <w:marTop w:val="0"/>
      <w:marBottom w:val="0"/>
      <w:divBdr>
        <w:top w:val="none" w:sz="0" w:space="0" w:color="auto"/>
        <w:left w:val="none" w:sz="0" w:space="0" w:color="auto"/>
        <w:bottom w:val="none" w:sz="0" w:space="0" w:color="auto"/>
        <w:right w:val="none" w:sz="0" w:space="0" w:color="auto"/>
      </w:divBdr>
    </w:div>
    <w:div w:id="1346324496">
      <w:bodyDiv w:val="1"/>
      <w:marLeft w:val="0"/>
      <w:marRight w:val="0"/>
      <w:marTop w:val="0"/>
      <w:marBottom w:val="0"/>
      <w:divBdr>
        <w:top w:val="none" w:sz="0" w:space="0" w:color="auto"/>
        <w:left w:val="none" w:sz="0" w:space="0" w:color="auto"/>
        <w:bottom w:val="none" w:sz="0" w:space="0" w:color="auto"/>
        <w:right w:val="none" w:sz="0" w:space="0" w:color="auto"/>
      </w:divBdr>
    </w:div>
    <w:div w:id="1390029449">
      <w:bodyDiv w:val="1"/>
      <w:marLeft w:val="0"/>
      <w:marRight w:val="0"/>
      <w:marTop w:val="0"/>
      <w:marBottom w:val="0"/>
      <w:divBdr>
        <w:top w:val="none" w:sz="0" w:space="0" w:color="auto"/>
        <w:left w:val="none" w:sz="0" w:space="0" w:color="auto"/>
        <w:bottom w:val="none" w:sz="0" w:space="0" w:color="auto"/>
        <w:right w:val="none" w:sz="0" w:space="0" w:color="auto"/>
      </w:divBdr>
    </w:div>
    <w:div w:id="1391226782">
      <w:bodyDiv w:val="1"/>
      <w:marLeft w:val="0"/>
      <w:marRight w:val="0"/>
      <w:marTop w:val="0"/>
      <w:marBottom w:val="0"/>
      <w:divBdr>
        <w:top w:val="none" w:sz="0" w:space="0" w:color="auto"/>
        <w:left w:val="none" w:sz="0" w:space="0" w:color="auto"/>
        <w:bottom w:val="none" w:sz="0" w:space="0" w:color="auto"/>
        <w:right w:val="none" w:sz="0" w:space="0" w:color="auto"/>
      </w:divBdr>
    </w:div>
    <w:div w:id="1537310143">
      <w:bodyDiv w:val="1"/>
      <w:marLeft w:val="0"/>
      <w:marRight w:val="0"/>
      <w:marTop w:val="0"/>
      <w:marBottom w:val="0"/>
      <w:divBdr>
        <w:top w:val="none" w:sz="0" w:space="0" w:color="auto"/>
        <w:left w:val="none" w:sz="0" w:space="0" w:color="auto"/>
        <w:bottom w:val="none" w:sz="0" w:space="0" w:color="auto"/>
        <w:right w:val="none" w:sz="0" w:space="0" w:color="auto"/>
      </w:divBdr>
    </w:div>
    <w:div w:id="1537541525">
      <w:bodyDiv w:val="1"/>
      <w:marLeft w:val="0"/>
      <w:marRight w:val="0"/>
      <w:marTop w:val="0"/>
      <w:marBottom w:val="0"/>
      <w:divBdr>
        <w:top w:val="none" w:sz="0" w:space="0" w:color="auto"/>
        <w:left w:val="none" w:sz="0" w:space="0" w:color="auto"/>
        <w:bottom w:val="none" w:sz="0" w:space="0" w:color="auto"/>
        <w:right w:val="none" w:sz="0" w:space="0" w:color="auto"/>
      </w:divBdr>
    </w:div>
    <w:div w:id="1665668167">
      <w:bodyDiv w:val="1"/>
      <w:marLeft w:val="0"/>
      <w:marRight w:val="0"/>
      <w:marTop w:val="0"/>
      <w:marBottom w:val="0"/>
      <w:divBdr>
        <w:top w:val="none" w:sz="0" w:space="0" w:color="auto"/>
        <w:left w:val="none" w:sz="0" w:space="0" w:color="auto"/>
        <w:bottom w:val="none" w:sz="0" w:space="0" w:color="auto"/>
        <w:right w:val="none" w:sz="0" w:space="0" w:color="auto"/>
      </w:divBdr>
    </w:div>
    <w:div w:id="1666473463">
      <w:bodyDiv w:val="1"/>
      <w:marLeft w:val="0"/>
      <w:marRight w:val="0"/>
      <w:marTop w:val="0"/>
      <w:marBottom w:val="0"/>
      <w:divBdr>
        <w:top w:val="none" w:sz="0" w:space="0" w:color="auto"/>
        <w:left w:val="none" w:sz="0" w:space="0" w:color="auto"/>
        <w:bottom w:val="none" w:sz="0" w:space="0" w:color="auto"/>
        <w:right w:val="none" w:sz="0" w:space="0" w:color="auto"/>
      </w:divBdr>
    </w:div>
    <w:div w:id="1688945217">
      <w:bodyDiv w:val="1"/>
      <w:marLeft w:val="0"/>
      <w:marRight w:val="0"/>
      <w:marTop w:val="0"/>
      <w:marBottom w:val="0"/>
      <w:divBdr>
        <w:top w:val="none" w:sz="0" w:space="0" w:color="auto"/>
        <w:left w:val="none" w:sz="0" w:space="0" w:color="auto"/>
        <w:bottom w:val="none" w:sz="0" w:space="0" w:color="auto"/>
        <w:right w:val="none" w:sz="0" w:space="0" w:color="auto"/>
      </w:divBdr>
    </w:div>
    <w:div w:id="1697535903">
      <w:bodyDiv w:val="1"/>
      <w:marLeft w:val="0"/>
      <w:marRight w:val="0"/>
      <w:marTop w:val="0"/>
      <w:marBottom w:val="0"/>
      <w:divBdr>
        <w:top w:val="none" w:sz="0" w:space="0" w:color="auto"/>
        <w:left w:val="none" w:sz="0" w:space="0" w:color="auto"/>
        <w:bottom w:val="none" w:sz="0" w:space="0" w:color="auto"/>
        <w:right w:val="none" w:sz="0" w:space="0" w:color="auto"/>
      </w:divBdr>
    </w:div>
    <w:div w:id="1705666827">
      <w:bodyDiv w:val="1"/>
      <w:marLeft w:val="0"/>
      <w:marRight w:val="0"/>
      <w:marTop w:val="0"/>
      <w:marBottom w:val="0"/>
      <w:divBdr>
        <w:top w:val="none" w:sz="0" w:space="0" w:color="auto"/>
        <w:left w:val="none" w:sz="0" w:space="0" w:color="auto"/>
        <w:bottom w:val="none" w:sz="0" w:space="0" w:color="auto"/>
        <w:right w:val="none" w:sz="0" w:space="0" w:color="auto"/>
      </w:divBdr>
    </w:div>
    <w:div w:id="1777288304">
      <w:bodyDiv w:val="1"/>
      <w:marLeft w:val="0"/>
      <w:marRight w:val="0"/>
      <w:marTop w:val="0"/>
      <w:marBottom w:val="0"/>
      <w:divBdr>
        <w:top w:val="none" w:sz="0" w:space="0" w:color="auto"/>
        <w:left w:val="none" w:sz="0" w:space="0" w:color="auto"/>
        <w:bottom w:val="none" w:sz="0" w:space="0" w:color="auto"/>
        <w:right w:val="none" w:sz="0" w:space="0" w:color="auto"/>
      </w:divBdr>
    </w:div>
    <w:div w:id="1922638100">
      <w:bodyDiv w:val="1"/>
      <w:marLeft w:val="0"/>
      <w:marRight w:val="0"/>
      <w:marTop w:val="0"/>
      <w:marBottom w:val="0"/>
      <w:divBdr>
        <w:top w:val="none" w:sz="0" w:space="0" w:color="auto"/>
        <w:left w:val="none" w:sz="0" w:space="0" w:color="auto"/>
        <w:bottom w:val="none" w:sz="0" w:space="0" w:color="auto"/>
        <w:right w:val="none" w:sz="0" w:space="0" w:color="auto"/>
      </w:divBdr>
    </w:div>
    <w:div w:id="1975410125">
      <w:bodyDiv w:val="1"/>
      <w:marLeft w:val="0"/>
      <w:marRight w:val="0"/>
      <w:marTop w:val="0"/>
      <w:marBottom w:val="0"/>
      <w:divBdr>
        <w:top w:val="none" w:sz="0" w:space="0" w:color="auto"/>
        <w:left w:val="none" w:sz="0" w:space="0" w:color="auto"/>
        <w:bottom w:val="none" w:sz="0" w:space="0" w:color="auto"/>
        <w:right w:val="none" w:sz="0" w:space="0" w:color="auto"/>
      </w:divBdr>
    </w:div>
    <w:div w:id="207608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3" Type="http://schemas.openxmlformats.org/officeDocument/2006/relationships/styles" Target="styles.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chart" Target="charts/chart39.xml"/><Relationship Id="rId50" Type="http://schemas.openxmlformats.org/officeDocument/2006/relationships/chart" Target="charts/chart42.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chart" Target="charts/chart38.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41" Type="http://schemas.openxmlformats.org/officeDocument/2006/relationships/chart" Target="charts/chart3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chart" Target="charts/chart37.xm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49" Type="http://schemas.openxmlformats.org/officeDocument/2006/relationships/chart" Target="charts/chart41.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chart" Target="charts/chart36.xm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48" Type="http://schemas.openxmlformats.org/officeDocument/2006/relationships/chart" Target="charts/chart40.xml"/><Relationship Id="rId8" Type="http://schemas.openxmlformats.org/officeDocument/2006/relationships/endnotes" Target="endnotes.xml"/><Relationship Id="rId51" Type="http://schemas.openxmlformats.org/officeDocument/2006/relationships/chart" Target="charts/chart4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2" Type="http://schemas.openxmlformats.org/officeDocument/2006/relationships/oleObject" Target="file:///C:\Users\&#352;ime\Desktop\STRATEGIJA%20RAZVOJA_ZADAR\STRATEGIJA%20GRADA\1.%20ANALIZA%20STANJA\gospodarstvo\Tr&#382;i&#353;te%20rada,%20LQ,%20shift%20share.xlsx" TargetMode="External"/><Relationship Id="rId1" Type="http://schemas.openxmlformats.org/officeDocument/2006/relationships/themeOverride" Target="../theme/themeOverride2.xml"/></Relationships>
</file>

<file path=word/charts/_rels/chart38.xml.rels><?xml version="1.0" encoding="UTF-8" standalone="yes"?>
<Relationships xmlns="http://schemas.openxmlformats.org/package/2006/relationships"><Relationship Id="rId2" Type="http://schemas.openxmlformats.org/officeDocument/2006/relationships/oleObject" Target="file:///C:\Users\&#352;ime\Desktop\STRATEGIJA%20RAZVOJA_ZADAR\STRATEGIJA%20GRADA\1.%20ANALIZA%20STANJA\gospodarstvo\Tr&#382;i&#353;te%20rada,%20LQ,%20shift%20share.xlsx" TargetMode="External"/><Relationship Id="rId1" Type="http://schemas.openxmlformats.org/officeDocument/2006/relationships/themeOverride" Target="../theme/themeOverride3.xml"/></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4.xml"/></Relationships>
</file>

<file path=word/charts/_rels/chart42.xml.rels><?xml version="1.0" encoding="UTF-8" standalone="yes"?>
<Relationships xmlns="http://schemas.openxmlformats.org/package/2006/relationships"><Relationship Id="rId1" Type="http://schemas.openxmlformats.org/officeDocument/2006/relationships/oleObject" Target="file:///C:\Users\&#352;ime\Desktop\STRATEGIJA%20RAZVOJA_ZADAR\STRATEGIJA%20GRADA\1.%20ANALIZA%20STANJA\gospodarstvo\Tr&#382;i&#353;te%20rada,%20LQ,%20shift%20share.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352;ime\Desktop\STRATEGIJA%20RAZVOJA_ZADAR\STRATEGIJA%20GRADA\1.%20ANALIZA%20STANJA\gospodarstvo\Tr&#382;i&#353;te%20rada,%20LQ,%20shift%20share.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8552999502513168E-2"/>
          <c:y val="4.684607462041928E-2"/>
          <c:w val="0.5953455818022747"/>
          <c:h val="0.8474507458719559"/>
        </c:manualLayout>
      </c:layout>
      <c:lineChart>
        <c:grouping val="standard"/>
        <c:varyColors val="0"/>
        <c:ser>
          <c:idx val="0"/>
          <c:order val="0"/>
          <c:tx>
            <c:strRef>
              <c:f>List1!$B$1</c:f>
              <c:strCache>
                <c:ptCount val="1"/>
                <c:pt idx="0">
                  <c:v>Zadarska županija</c:v>
                </c:pt>
              </c:strCache>
            </c:strRef>
          </c:tx>
          <c:marker>
            <c:symbol val="none"/>
          </c:marker>
          <c:dLbls>
            <c:txPr>
              <a:bodyPr/>
              <a:lstStyle/>
              <a:p>
                <a:pPr>
                  <a:defRPr sz="800"/>
                </a:pPr>
                <a:endParaRPr lang="sr-Latn-RS"/>
              </a:p>
            </c:txPr>
            <c:showLegendKey val="0"/>
            <c:showVal val="1"/>
            <c:showCatName val="0"/>
            <c:showSerName val="0"/>
            <c:showPercent val="0"/>
            <c:showBubbleSize val="0"/>
            <c:showLeaderLines val="0"/>
          </c:dLbls>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List1!$B$2:$B$11</c:f>
              <c:numCache>
                <c:formatCode>General</c:formatCode>
                <c:ptCount val="10"/>
                <c:pt idx="0">
                  <c:v>623</c:v>
                </c:pt>
                <c:pt idx="1">
                  <c:v>731</c:v>
                </c:pt>
                <c:pt idx="2">
                  <c:v>825</c:v>
                </c:pt>
                <c:pt idx="3">
                  <c:v>962</c:v>
                </c:pt>
                <c:pt idx="4">
                  <c:v>1035</c:v>
                </c:pt>
                <c:pt idx="5">
                  <c:v>1139</c:v>
                </c:pt>
                <c:pt idx="6">
                  <c:v>1184</c:v>
                </c:pt>
                <c:pt idx="7">
                  <c:v>1380</c:v>
                </c:pt>
                <c:pt idx="8">
                  <c:v>1580</c:v>
                </c:pt>
                <c:pt idx="9">
                  <c:v>1474</c:v>
                </c:pt>
              </c:numCache>
            </c:numRef>
          </c:val>
          <c:smooth val="0"/>
        </c:ser>
        <c:ser>
          <c:idx val="1"/>
          <c:order val="1"/>
          <c:tx>
            <c:strRef>
              <c:f>List1!$C$1</c:f>
              <c:strCache>
                <c:ptCount val="1"/>
                <c:pt idx="0">
                  <c:v>Istarska</c:v>
                </c:pt>
              </c:strCache>
            </c:strRef>
          </c:tx>
          <c:marker>
            <c:symbol val="none"/>
          </c:marker>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List1!$C$2:$C$11</c:f>
              <c:numCache>
                <c:formatCode>General</c:formatCode>
                <c:ptCount val="10"/>
                <c:pt idx="0">
                  <c:v>1401</c:v>
                </c:pt>
                <c:pt idx="1">
                  <c:v>1597</c:v>
                </c:pt>
                <c:pt idx="2">
                  <c:v>1783</c:v>
                </c:pt>
                <c:pt idx="3">
                  <c:v>1935</c:v>
                </c:pt>
                <c:pt idx="4">
                  <c:v>2137</c:v>
                </c:pt>
                <c:pt idx="5">
                  <c:v>2240</c:v>
                </c:pt>
                <c:pt idx="6">
                  <c:v>2410</c:v>
                </c:pt>
                <c:pt idx="7">
                  <c:v>2654</c:v>
                </c:pt>
                <c:pt idx="8">
                  <c:v>2826</c:v>
                </c:pt>
                <c:pt idx="9">
                  <c:v>2754</c:v>
                </c:pt>
              </c:numCache>
            </c:numRef>
          </c:val>
          <c:smooth val="0"/>
        </c:ser>
        <c:ser>
          <c:idx val="2"/>
          <c:order val="2"/>
          <c:tx>
            <c:strRef>
              <c:f>List1!$D$1</c:f>
              <c:strCache>
                <c:ptCount val="1"/>
                <c:pt idx="0">
                  <c:v>Primorsko-goranska</c:v>
                </c:pt>
              </c:strCache>
            </c:strRef>
          </c:tx>
          <c:marker>
            <c:symbol val="none"/>
          </c:marker>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List1!$D$2:$D$11</c:f>
              <c:numCache>
                <c:formatCode>General</c:formatCode>
                <c:ptCount val="10"/>
                <c:pt idx="0">
                  <c:v>2040</c:v>
                </c:pt>
                <c:pt idx="1">
                  <c:v>2067</c:v>
                </c:pt>
                <c:pt idx="2">
                  <c:v>2185</c:v>
                </c:pt>
                <c:pt idx="3">
                  <c:v>2440</c:v>
                </c:pt>
                <c:pt idx="4">
                  <c:v>2586</c:v>
                </c:pt>
                <c:pt idx="5">
                  <c:v>2952</c:v>
                </c:pt>
                <c:pt idx="6">
                  <c:v>3222</c:v>
                </c:pt>
                <c:pt idx="7">
                  <c:v>3406</c:v>
                </c:pt>
                <c:pt idx="8">
                  <c:v>3864</c:v>
                </c:pt>
                <c:pt idx="9">
                  <c:v>3744</c:v>
                </c:pt>
              </c:numCache>
            </c:numRef>
          </c:val>
          <c:smooth val="0"/>
        </c:ser>
        <c:ser>
          <c:idx val="3"/>
          <c:order val="3"/>
          <c:tx>
            <c:strRef>
              <c:f>List1!$E$1</c:f>
              <c:strCache>
                <c:ptCount val="1"/>
                <c:pt idx="0">
                  <c:v>Ličko-senjska</c:v>
                </c:pt>
              </c:strCache>
            </c:strRef>
          </c:tx>
          <c:marker>
            <c:symbol val="none"/>
          </c:marker>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List1!$E$2:$E$11</c:f>
              <c:numCache>
                <c:formatCode>General</c:formatCode>
                <c:ptCount val="10"/>
                <c:pt idx="0">
                  <c:v>242</c:v>
                </c:pt>
                <c:pt idx="1">
                  <c:v>259</c:v>
                </c:pt>
                <c:pt idx="2">
                  <c:v>316</c:v>
                </c:pt>
                <c:pt idx="3">
                  <c:v>384</c:v>
                </c:pt>
                <c:pt idx="4">
                  <c:v>521</c:v>
                </c:pt>
                <c:pt idx="5">
                  <c:v>398</c:v>
                </c:pt>
                <c:pt idx="6">
                  <c:v>418</c:v>
                </c:pt>
                <c:pt idx="7">
                  <c:v>411</c:v>
                </c:pt>
                <c:pt idx="8">
                  <c:v>492</c:v>
                </c:pt>
                <c:pt idx="9">
                  <c:v>435</c:v>
                </c:pt>
              </c:numCache>
            </c:numRef>
          </c:val>
          <c:smooth val="0"/>
        </c:ser>
        <c:ser>
          <c:idx val="4"/>
          <c:order val="4"/>
          <c:tx>
            <c:strRef>
              <c:f>List1!$F$1</c:f>
              <c:strCache>
                <c:ptCount val="1"/>
                <c:pt idx="0">
                  <c:v>Šibensko-kninska</c:v>
                </c:pt>
              </c:strCache>
            </c:strRef>
          </c:tx>
          <c:marker>
            <c:symbol val="none"/>
          </c:marker>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List1!$F$2:$F$11</c:f>
              <c:numCache>
                <c:formatCode>General</c:formatCode>
                <c:ptCount val="10"/>
                <c:pt idx="0">
                  <c:v>416</c:v>
                </c:pt>
                <c:pt idx="1">
                  <c:v>447</c:v>
                </c:pt>
                <c:pt idx="2">
                  <c:v>506</c:v>
                </c:pt>
                <c:pt idx="3">
                  <c:v>570</c:v>
                </c:pt>
                <c:pt idx="4">
                  <c:v>647</c:v>
                </c:pt>
                <c:pt idx="5">
                  <c:v>742</c:v>
                </c:pt>
                <c:pt idx="6">
                  <c:v>751</c:v>
                </c:pt>
                <c:pt idx="7">
                  <c:v>892</c:v>
                </c:pt>
                <c:pt idx="8">
                  <c:v>932</c:v>
                </c:pt>
                <c:pt idx="9">
                  <c:v>826</c:v>
                </c:pt>
              </c:numCache>
            </c:numRef>
          </c:val>
          <c:smooth val="0"/>
        </c:ser>
        <c:ser>
          <c:idx val="5"/>
          <c:order val="5"/>
          <c:tx>
            <c:strRef>
              <c:f>List1!$G$1</c:f>
              <c:strCache>
                <c:ptCount val="1"/>
                <c:pt idx="0">
                  <c:v>Splitsko-dalmatinska</c:v>
                </c:pt>
              </c:strCache>
            </c:strRef>
          </c:tx>
          <c:marker>
            <c:symbol val="none"/>
          </c:marker>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List1!$G$2:$G$11</c:f>
              <c:numCache>
                <c:formatCode>General</c:formatCode>
                <c:ptCount val="10"/>
                <c:pt idx="0">
                  <c:v>1883</c:v>
                </c:pt>
                <c:pt idx="1">
                  <c:v>2077</c:v>
                </c:pt>
                <c:pt idx="2">
                  <c:v>2267</c:v>
                </c:pt>
                <c:pt idx="3">
                  <c:v>2446</c:v>
                </c:pt>
                <c:pt idx="4">
                  <c:v>2813</c:v>
                </c:pt>
                <c:pt idx="5">
                  <c:v>3006</c:v>
                </c:pt>
                <c:pt idx="6">
                  <c:v>3324</c:v>
                </c:pt>
                <c:pt idx="7">
                  <c:v>3847</c:v>
                </c:pt>
                <c:pt idx="8">
                  <c:v>4058</c:v>
                </c:pt>
                <c:pt idx="9">
                  <c:v>3837</c:v>
                </c:pt>
              </c:numCache>
            </c:numRef>
          </c:val>
          <c:smooth val="0"/>
        </c:ser>
        <c:ser>
          <c:idx val="6"/>
          <c:order val="6"/>
          <c:tx>
            <c:strRef>
              <c:f>List1!$H$1</c:f>
              <c:strCache>
                <c:ptCount val="1"/>
                <c:pt idx="0">
                  <c:v>Dubrovačko-neretvanska</c:v>
                </c:pt>
              </c:strCache>
            </c:strRef>
          </c:tx>
          <c:marker>
            <c:symbol val="none"/>
          </c:marker>
          <c:cat>
            <c:numRef>
              <c:f>List1!$A$2:$A$11</c:f>
              <c:numCache>
                <c:formatCode>General</c:formatCode>
                <c:ptCount val="10"/>
                <c:pt idx="0">
                  <c:v>2000</c:v>
                </c:pt>
                <c:pt idx="1">
                  <c:v>2001</c:v>
                </c:pt>
                <c:pt idx="2">
                  <c:v>2002</c:v>
                </c:pt>
                <c:pt idx="3">
                  <c:v>2003</c:v>
                </c:pt>
                <c:pt idx="4">
                  <c:v>2004</c:v>
                </c:pt>
                <c:pt idx="5">
                  <c:v>2005</c:v>
                </c:pt>
                <c:pt idx="6">
                  <c:v>2006</c:v>
                </c:pt>
                <c:pt idx="7">
                  <c:v>2007</c:v>
                </c:pt>
                <c:pt idx="8">
                  <c:v>2008</c:v>
                </c:pt>
                <c:pt idx="9">
                  <c:v>2009</c:v>
                </c:pt>
              </c:numCache>
            </c:numRef>
          </c:cat>
          <c:val>
            <c:numRef>
              <c:f>List1!$H$2:$H$11</c:f>
              <c:numCache>
                <c:formatCode>General</c:formatCode>
                <c:ptCount val="10"/>
                <c:pt idx="0">
                  <c:v>572</c:v>
                </c:pt>
                <c:pt idx="1">
                  <c:v>634</c:v>
                </c:pt>
                <c:pt idx="2">
                  <c:v>674</c:v>
                </c:pt>
                <c:pt idx="3">
                  <c:v>742</c:v>
                </c:pt>
                <c:pt idx="4">
                  <c:v>876</c:v>
                </c:pt>
                <c:pt idx="5">
                  <c:v>963</c:v>
                </c:pt>
                <c:pt idx="6">
                  <c:v>1063</c:v>
                </c:pt>
                <c:pt idx="7">
                  <c:v>1265</c:v>
                </c:pt>
                <c:pt idx="8">
                  <c:v>1344</c:v>
                </c:pt>
                <c:pt idx="9">
                  <c:v>1273</c:v>
                </c:pt>
              </c:numCache>
            </c:numRef>
          </c:val>
          <c:smooth val="0"/>
        </c:ser>
        <c:dLbls>
          <c:showLegendKey val="0"/>
          <c:showVal val="0"/>
          <c:showCatName val="0"/>
          <c:showSerName val="0"/>
          <c:showPercent val="0"/>
          <c:showBubbleSize val="0"/>
        </c:dLbls>
        <c:marker val="1"/>
        <c:smooth val="0"/>
        <c:axId val="326050176"/>
        <c:axId val="326051712"/>
      </c:lineChart>
      <c:catAx>
        <c:axId val="326050176"/>
        <c:scaling>
          <c:orientation val="minMax"/>
        </c:scaling>
        <c:delete val="0"/>
        <c:axPos val="b"/>
        <c:numFmt formatCode="General" sourceLinked="1"/>
        <c:majorTickMark val="out"/>
        <c:minorTickMark val="none"/>
        <c:tickLblPos val="nextTo"/>
        <c:crossAx val="326051712"/>
        <c:crosses val="autoZero"/>
        <c:auto val="1"/>
        <c:lblAlgn val="ctr"/>
        <c:lblOffset val="100"/>
        <c:noMultiLvlLbl val="0"/>
      </c:catAx>
      <c:valAx>
        <c:axId val="326051712"/>
        <c:scaling>
          <c:orientation val="minMax"/>
        </c:scaling>
        <c:delete val="0"/>
        <c:axPos val="l"/>
        <c:majorGridlines/>
        <c:numFmt formatCode="General" sourceLinked="1"/>
        <c:majorTickMark val="out"/>
        <c:minorTickMark val="none"/>
        <c:tickLblPos val="nextTo"/>
        <c:crossAx val="326050176"/>
        <c:crosses val="autoZero"/>
        <c:crossBetween val="between"/>
      </c:valAx>
    </c:plotArea>
    <c:legend>
      <c:legendPos val="r"/>
      <c:overlay val="0"/>
      <c:txPr>
        <a:bodyPr/>
        <a:lstStyle/>
        <a:p>
          <a:pPr>
            <a:defRPr sz="800"/>
          </a:pPr>
          <a:endParaRPr lang="sr-Latn-R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barChart>
        <c:barDir val="bar"/>
        <c:grouping val="clustered"/>
        <c:varyColors val="0"/>
        <c:ser>
          <c:idx val="0"/>
          <c:order val="0"/>
          <c:tx>
            <c:v>2008.</c:v>
          </c:tx>
          <c:invertIfNegative val="0"/>
          <c:dLbls>
            <c:showLegendKey val="0"/>
            <c:showVal val="1"/>
            <c:showCatName val="0"/>
            <c:showSerName val="0"/>
            <c:showPercent val="0"/>
            <c:showBubbleSize val="0"/>
            <c:showLeaderLines val="0"/>
          </c:dLbls>
          <c:cat>
            <c:strRef>
              <c:f>List1!$B$307:$B$311</c:f>
              <c:strCache>
                <c:ptCount val="5"/>
                <c:pt idx="0">
                  <c:v>15-24</c:v>
                </c:pt>
                <c:pt idx="1">
                  <c:v>25-34</c:v>
                </c:pt>
                <c:pt idx="2">
                  <c:v>35-44</c:v>
                </c:pt>
                <c:pt idx="3">
                  <c:v>45-54</c:v>
                </c:pt>
                <c:pt idx="4">
                  <c:v>55-60 i više</c:v>
                </c:pt>
              </c:strCache>
            </c:strRef>
          </c:cat>
          <c:val>
            <c:numRef>
              <c:f>List1!$E$307:$E$311</c:f>
              <c:numCache>
                <c:formatCode>0.00</c:formatCode>
                <c:ptCount val="5"/>
                <c:pt idx="0">
                  <c:v>11.321683485109526</c:v>
                </c:pt>
                <c:pt idx="1">
                  <c:v>21.240462712281566</c:v>
                </c:pt>
                <c:pt idx="2">
                  <c:v>21.486586266305686</c:v>
                </c:pt>
                <c:pt idx="3">
                  <c:v>27.885798670932811</c:v>
                </c:pt>
                <c:pt idx="4">
                  <c:v>18.065468865370416</c:v>
                </c:pt>
              </c:numCache>
            </c:numRef>
          </c:val>
        </c:ser>
        <c:ser>
          <c:idx val="1"/>
          <c:order val="1"/>
          <c:tx>
            <c:v>2011.</c:v>
          </c:tx>
          <c:invertIfNegative val="0"/>
          <c:dLbls>
            <c:showLegendKey val="0"/>
            <c:showVal val="1"/>
            <c:showCatName val="0"/>
            <c:showSerName val="0"/>
            <c:showPercent val="0"/>
            <c:showBubbleSize val="0"/>
            <c:showLeaderLines val="0"/>
          </c:dLbls>
          <c:cat>
            <c:strRef>
              <c:f>List1!$B$307:$B$311</c:f>
              <c:strCache>
                <c:ptCount val="5"/>
                <c:pt idx="0">
                  <c:v>15-24</c:v>
                </c:pt>
                <c:pt idx="1">
                  <c:v>25-34</c:v>
                </c:pt>
                <c:pt idx="2">
                  <c:v>35-44</c:v>
                </c:pt>
                <c:pt idx="3">
                  <c:v>45-54</c:v>
                </c:pt>
                <c:pt idx="4">
                  <c:v>55-60 i više</c:v>
                </c:pt>
              </c:strCache>
            </c:strRef>
          </c:cat>
          <c:val>
            <c:numRef>
              <c:f>List1!$F$307:$F$311</c:f>
              <c:numCache>
                <c:formatCode>0.00</c:formatCode>
                <c:ptCount val="5"/>
                <c:pt idx="0">
                  <c:v>14.19831223628692</c:v>
                </c:pt>
                <c:pt idx="1">
                  <c:v>27.721518987341771</c:v>
                </c:pt>
                <c:pt idx="2">
                  <c:v>20.29535864978903</c:v>
                </c:pt>
                <c:pt idx="3">
                  <c:v>20.780590717299578</c:v>
                </c:pt>
                <c:pt idx="4">
                  <c:v>17.004219409282701</c:v>
                </c:pt>
              </c:numCache>
            </c:numRef>
          </c:val>
        </c:ser>
        <c:dLbls>
          <c:showLegendKey val="0"/>
          <c:showVal val="0"/>
          <c:showCatName val="0"/>
          <c:showSerName val="0"/>
          <c:showPercent val="0"/>
          <c:showBubbleSize val="0"/>
        </c:dLbls>
        <c:gapWidth val="150"/>
        <c:axId val="332107136"/>
        <c:axId val="332223616"/>
      </c:barChart>
      <c:catAx>
        <c:axId val="332107136"/>
        <c:scaling>
          <c:orientation val="minMax"/>
        </c:scaling>
        <c:delete val="0"/>
        <c:axPos val="l"/>
        <c:majorTickMark val="out"/>
        <c:minorTickMark val="none"/>
        <c:tickLblPos val="nextTo"/>
        <c:crossAx val="332223616"/>
        <c:crosses val="autoZero"/>
        <c:auto val="1"/>
        <c:lblAlgn val="ctr"/>
        <c:lblOffset val="100"/>
        <c:noMultiLvlLbl val="0"/>
      </c:catAx>
      <c:valAx>
        <c:axId val="332223616"/>
        <c:scaling>
          <c:orientation val="minMax"/>
        </c:scaling>
        <c:delete val="0"/>
        <c:axPos val="b"/>
        <c:majorGridlines/>
        <c:numFmt formatCode="0.00" sourceLinked="1"/>
        <c:majorTickMark val="out"/>
        <c:minorTickMark val="none"/>
        <c:tickLblPos val="nextTo"/>
        <c:crossAx val="332107136"/>
        <c:crosses val="autoZero"/>
        <c:crossBetween val="between"/>
      </c:valAx>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ZŽ</c:v>
          </c:tx>
          <c:spPr>
            <a:ln>
              <a:solidFill>
                <a:srgbClr val="FF0000"/>
              </a:solidFill>
              <a:prstDash val="sysDash"/>
            </a:ln>
          </c:spPr>
          <c:marker>
            <c:symbol val="none"/>
          </c:marker>
          <c:dLbls>
            <c:dLbl>
              <c:idx val="0"/>
              <c:layout>
                <c:manualLayout>
                  <c:x val="0"/>
                  <c:y val="-1.7878419986891037E-2"/>
                </c:manualLayout>
              </c:layout>
              <c:showLegendKey val="0"/>
              <c:showVal val="1"/>
              <c:showCatName val="0"/>
              <c:showSerName val="0"/>
              <c:showPercent val="0"/>
              <c:showBubbleSize val="0"/>
            </c:dLbl>
            <c:dLbl>
              <c:idx val="1"/>
              <c:layout>
                <c:manualLayout>
                  <c:x val="-5.6692913385826771E-2"/>
                  <c:y val="-7.1513679947564149E-2"/>
                </c:manualLayout>
              </c:layout>
              <c:showLegendKey val="0"/>
              <c:showVal val="1"/>
              <c:showCatName val="0"/>
              <c:showSerName val="0"/>
              <c:showPercent val="0"/>
              <c:showBubbleSize val="0"/>
            </c:dLbl>
            <c:dLbl>
              <c:idx val="2"/>
              <c:layout>
                <c:manualLayout>
                  <c:x val="-6.9291338582677164E-2"/>
                  <c:y val="-7.151367994756414E-3"/>
                </c:manualLayout>
              </c:layout>
              <c:showLegendKey val="0"/>
              <c:showVal val="1"/>
              <c:showCatName val="0"/>
              <c:showSerName val="0"/>
              <c:showPercent val="0"/>
              <c:showBubbleSize val="0"/>
            </c:dLbl>
            <c:dLbl>
              <c:idx val="3"/>
              <c:layout>
                <c:manualLayout>
                  <c:x val="-5.2493438320209973E-2"/>
                  <c:y val="-3.2181437526324984E-2"/>
                </c:manualLayout>
              </c:layout>
              <c:showLegendKey val="0"/>
              <c:showVal val="1"/>
              <c:showCatName val="0"/>
              <c:showSerName val="0"/>
              <c:showPercent val="0"/>
              <c:showBubbleSize val="0"/>
            </c:dLbl>
            <c:dLbl>
              <c:idx val="4"/>
              <c:layout>
                <c:manualLayout>
                  <c:x val="-4.8293963254593175E-2"/>
                  <c:y val="-3.5757121523703188E-2"/>
                </c:manualLayout>
              </c:layout>
              <c:showLegendKey val="0"/>
              <c:showVal val="1"/>
              <c:showCatName val="0"/>
              <c:showSerName val="0"/>
              <c:showPercent val="0"/>
              <c:showBubbleSize val="0"/>
            </c:dLbl>
            <c:dLbl>
              <c:idx val="5"/>
              <c:layout>
                <c:manualLayout>
                  <c:x val="-4.8293963254593175E-2"/>
                  <c:y val="-5.7210943958051312E-2"/>
                </c:manualLayout>
              </c:layout>
              <c:showLegendKey val="0"/>
              <c:showVal val="1"/>
              <c:showCatName val="0"/>
              <c:showSerName val="0"/>
              <c:showPercent val="0"/>
              <c:showBubbleSize val="0"/>
            </c:dLbl>
            <c:dLbl>
              <c:idx val="6"/>
              <c:layout>
                <c:manualLayout>
                  <c:x val="-5.879265091863517E-2"/>
                  <c:y val="-5.0059575963294897E-2"/>
                </c:manualLayout>
              </c:layout>
              <c:showLegendKey val="0"/>
              <c:showVal val="1"/>
              <c:showCatName val="0"/>
              <c:showSerName val="0"/>
              <c:showPercent val="0"/>
              <c:showBubbleSize val="0"/>
            </c:dLbl>
            <c:dLbl>
              <c:idx val="7"/>
              <c:layout>
                <c:manualLayout>
                  <c:x val="-6.7191601049868765E-2"/>
                  <c:y val="-1.7878419986891037E-2"/>
                </c:manualLayout>
              </c:layout>
              <c:showLegendKey val="0"/>
              <c:showVal val="1"/>
              <c:showCatName val="0"/>
              <c:showSerName val="0"/>
              <c:showPercent val="0"/>
              <c:showBubbleSize val="0"/>
            </c:dLbl>
            <c:dLbl>
              <c:idx val="8"/>
              <c:layout>
                <c:manualLayout>
                  <c:x val="-6.0892388451443645E-2"/>
                  <c:y val="-3.9332523971160278E-2"/>
                </c:manualLayout>
              </c:layout>
              <c:showLegendKey val="0"/>
              <c:showVal val="1"/>
              <c:showCatName val="0"/>
              <c:showSerName val="0"/>
              <c:showPercent val="0"/>
              <c:showBubbleSize val="0"/>
            </c:dLbl>
            <c:dLbl>
              <c:idx val="9"/>
              <c:layout>
                <c:manualLayout>
                  <c:x val="-4.1994750656167978E-3"/>
                  <c:y val="-1.4302735989512828E-2"/>
                </c:manualLayout>
              </c:layout>
              <c:showLegendKey val="0"/>
              <c:showVal val="1"/>
              <c:showCatName val="0"/>
              <c:showSerName val="0"/>
              <c:showPercent val="0"/>
              <c:showBubbleSize val="0"/>
            </c:dLbl>
            <c:numFmt formatCode="#,##0.0" sourceLinked="0"/>
            <c:txPr>
              <a:bodyPr/>
              <a:lstStyle/>
              <a:p>
                <a:pPr>
                  <a:defRPr sz="800"/>
                </a:pPr>
                <a:endParaRPr lang="sr-Latn-RS"/>
              </a:p>
            </c:txPr>
            <c:showLegendKey val="0"/>
            <c:showVal val="1"/>
            <c:showCatName val="0"/>
            <c:showSerName val="0"/>
            <c:showPercent val="0"/>
            <c:showBubbleSize val="0"/>
            <c:showLeaderLines val="0"/>
          </c:dLbls>
          <c:cat>
            <c:strRef>
              <c:f>List1!$O$351:$O$360</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List1!$R$351:$R$360</c:f>
              <c:numCache>
                <c:formatCode>0.00</c:formatCode>
                <c:ptCount val="10"/>
                <c:pt idx="0">
                  <c:v>100</c:v>
                </c:pt>
                <c:pt idx="1">
                  <c:v>104.82519503033805</c:v>
                </c:pt>
                <c:pt idx="2">
                  <c:v>114.41779832418378</c:v>
                </c:pt>
                <c:pt idx="3">
                  <c:v>119.416353655013</c:v>
                </c:pt>
                <c:pt idx="4">
                  <c:v>125.02167003756139</c:v>
                </c:pt>
                <c:pt idx="5">
                  <c:v>127.7954348454204</c:v>
                </c:pt>
                <c:pt idx="6">
                  <c:v>134.61427333140711</c:v>
                </c:pt>
                <c:pt idx="7">
                  <c:v>144.35134354232881</c:v>
                </c:pt>
                <c:pt idx="8">
                  <c:v>147.50072233458539</c:v>
                </c:pt>
                <c:pt idx="9">
                  <c:v>148.42531060387171</c:v>
                </c:pt>
              </c:numCache>
            </c:numRef>
          </c:val>
          <c:smooth val="0"/>
        </c:ser>
        <c:ser>
          <c:idx val="1"/>
          <c:order val="1"/>
          <c:tx>
            <c:v>IŽ</c:v>
          </c:tx>
          <c:marker>
            <c:symbol val="none"/>
          </c:marker>
          <c:cat>
            <c:strRef>
              <c:f>List1!$O$351:$O$360</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List1!$W$351:$W$360</c:f>
              <c:numCache>
                <c:formatCode>General</c:formatCode>
                <c:ptCount val="10"/>
                <c:pt idx="0">
                  <c:v>100</c:v>
                </c:pt>
                <c:pt idx="1">
                  <c:v>105.23634305123124</c:v>
                </c:pt>
                <c:pt idx="2">
                  <c:v>112.76535522219078</c:v>
                </c:pt>
                <c:pt idx="3">
                  <c:v>117.52052080384942</c:v>
                </c:pt>
                <c:pt idx="4">
                  <c:v>124.51174639116897</c:v>
                </c:pt>
                <c:pt idx="5">
                  <c:v>130.08774412680441</c:v>
                </c:pt>
                <c:pt idx="6">
                  <c:v>135.60713274837249</c:v>
                </c:pt>
                <c:pt idx="7">
                  <c:v>144.52306821398244</c:v>
                </c:pt>
                <c:pt idx="8">
                  <c:v>147.21200113218228</c:v>
                </c:pt>
                <c:pt idx="9">
                  <c:v>149.13671101047268</c:v>
                </c:pt>
              </c:numCache>
            </c:numRef>
          </c:val>
          <c:smooth val="0"/>
        </c:ser>
        <c:ser>
          <c:idx val="2"/>
          <c:order val="2"/>
          <c:tx>
            <c:v>PGŽ</c:v>
          </c:tx>
          <c:marker>
            <c:symbol val="none"/>
          </c:marker>
          <c:cat>
            <c:strRef>
              <c:f>List1!$O$351:$O$360</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List1!$AB$351:$AB$360</c:f>
              <c:numCache>
                <c:formatCode>General</c:formatCode>
                <c:ptCount val="10"/>
                <c:pt idx="0">
                  <c:v>100</c:v>
                </c:pt>
                <c:pt idx="1">
                  <c:v>104.51739618406286</c:v>
                </c:pt>
                <c:pt idx="2">
                  <c:v>110.35353535353536</c:v>
                </c:pt>
                <c:pt idx="3">
                  <c:v>117.34006734006735</c:v>
                </c:pt>
                <c:pt idx="4">
                  <c:v>123.84960718294052</c:v>
                </c:pt>
                <c:pt idx="5">
                  <c:v>128.8159371492705</c:v>
                </c:pt>
                <c:pt idx="6">
                  <c:v>135.32547699214365</c:v>
                </c:pt>
                <c:pt idx="7">
                  <c:v>145.7070707070707</c:v>
                </c:pt>
                <c:pt idx="8">
                  <c:v>148.28843995510664</c:v>
                </c:pt>
                <c:pt idx="9">
                  <c:v>149.04601571268239</c:v>
                </c:pt>
              </c:numCache>
            </c:numRef>
          </c:val>
          <c:smooth val="0"/>
        </c:ser>
        <c:ser>
          <c:idx val="3"/>
          <c:order val="3"/>
          <c:tx>
            <c:v>ŠKŽ</c:v>
          </c:tx>
          <c:marker>
            <c:symbol val="none"/>
          </c:marker>
          <c:cat>
            <c:strRef>
              <c:f>List1!$O$351:$O$360</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List1!$AG$351:$AG$360</c:f>
              <c:numCache>
                <c:formatCode>General</c:formatCode>
                <c:ptCount val="10"/>
                <c:pt idx="0">
                  <c:v>100</c:v>
                </c:pt>
                <c:pt idx="1">
                  <c:v>107.2420036210018</c:v>
                </c:pt>
                <c:pt idx="2">
                  <c:v>113.48823174411586</c:v>
                </c:pt>
                <c:pt idx="3">
                  <c:v>118.31623415811707</c:v>
                </c:pt>
                <c:pt idx="4">
                  <c:v>122.11828605914303</c:v>
                </c:pt>
                <c:pt idx="5">
                  <c:v>127.76101388050694</c:v>
                </c:pt>
                <c:pt idx="6">
                  <c:v>135.00301750150877</c:v>
                </c:pt>
                <c:pt idx="7">
                  <c:v>147.5256487628244</c:v>
                </c:pt>
                <c:pt idx="8">
                  <c:v>149.75859987929994</c:v>
                </c:pt>
                <c:pt idx="9">
                  <c:v>151.81050090525045</c:v>
                </c:pt>
              </c:numCache>
            </c:numRef>
          </c:val>
          <c:smooth val="0"/>
        </c:ser>
        <c:ser>
          <c:idx val="4"/>
          <c:order val="4"/>
          <c:tx>
            <c:v>SDŽ</c:v>
          </c:tx>
          <c:marker>
            <c:symbol val="none"/>
          </c:marker>
          <c:cat>
            <c:strRef>
              <c:f>List1!$O$351:$O$360</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List1!$AL$351:$AL$360</c:f>
              <c:numCache>
                <c:formatCode>General</c:formatCode>
                <c:ptCount val="10"/>
                <c:pt idx="0">
                  <c:v>100</c:v>
                </c:pt>
                <c:pt idx="1">
                  <c:v>101.66141506731596</c:v>
                </c:pt>
                <c:pt idx="2">
                  <c:v>109.71068461758809</c:v>
                </c:pt>
                <c:pt idx="3">
                  <c:v>113.72099684904038</c:v>
                </c:pt>
                <c:pt idx="4">
                  <c:v>120.22343168146664</c:v>
                </c:pt>
                <c:pt idx="5">
                  <c:v>125.86651389286739</c:v>
                </c:pt>
                <c:pt idx="6">
                  <c:v>133.45746204525923</c:v>
                </c:pt>
                <c:pt idx="7">
                  <c:v>141.70724720710399</c:v>
                </c:pt>
                <c:pt idx="8">
                  <c:v>143.28272701231739</c:v>
                </c:pt>
                <c:pt idx="9">
                  <c:v>145.77484961329134</c:v>
                </c:pt>
              </c:numCache>
            </c:numRef>
          </c:val>
          <c:smooth val="0"/>
        </c:ser>
        <c:ser>
          <c:idx val="5"/>
          <c:order val="5"/>
          <c:tx>
            <c:v>DNŽ</c:v>
          </c:tx>
          <c:marker>
            <c:symbol val="none"/>
          </c:marker>
          <c:cat>
            <c:strRef>
              <c:f>List1!$O$351:$O$360</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List1!$AQ$351:$AQ$360</c:f>
              <c:numCache>
                <c:formatCode>General</c:formatCode>
                <c:ptCount val="10"/>
                <c:pt idx="0">
                  <c:v>100</c:v>
                </c:pt>
                <c:pt idx="1">
                  <c:v>102.6246719160105</c:v>
                </c:pt>
                <c:pt idx="2">
                  <c:v>110.49868766404201</c:v>
                </c:pt>
                <c:pt idx="3">
                  <c:v>118.11023622047243</c:v>
                </c:pt>
                <c:pt idx="4">
                  <c:v>123.82618839311752</c:v>
                </c:pt>
                <c:pt idx="5">
                  <c:v>130.67949839603384</c:v>
                </c:pt>
                <c:pt idx="6">
                  <c:v>136.77456984543599</c:v>
                </c:pt>
                <c:pt idx="7">
                  <c:v>147.41907261592303</c:v>
                </c:pt>
                <c:pt idx="8">
                  <c:v>150.33537474482358</c:v>
                </c:pt>
                <c:pt idx="9">
                  <c:v>152.81423155438901</c:v>
                </c:pt>
              </c:numCache>
            </c:numRef>
          </c:val>
          <c:smooth val="0"/>
        </c:ser>
        <c:dLbls>
          <c:showLegendKey val="0"/>
          <c:showVal val="0"/>
          <c:showCatName val="0"/>
          <c:showSerName val="0"/>
          <c:showPercent val="0"/>
          <c:showBubbleSize val="0"/>
        </c:dLbls>
        <c:marker val="1"/>
        <c:smooth val="0"/>
        <c:axId val="332498048"/>
        <c:axId val="332499584"/>
      </c:lineChart>
      <c:catAx>
        <c:axId val="332498048"/>
        <c:scaling>
          <c:orientation val="minMax"/>
        </c:scaling>
        <c:delete val="0"/>
        <c:axPos val="b"/>
        <c:majorTickMark val="out"/>
        <c:minorTickMark val="none"/>
        <c:tickLblPos val="nextTo"/>
        <c:crossAx val="332499584"/>
        <c:crosses val="autoZero"/>
        <c:auto val="1"/>
        <c:lblAlgn val="ctr"/>
        <c:lblOffset val="100"/>
        <c:noMultiLvlLbl val="0"/>
      </c:catAx>
      <c:valAx>
        <c:axId val="332499584"/>
        <c:scaling>
          <c:orientation val="minMax"/>
          <c:min val="100"/>
        </c:scaling>
        <c:delete val="0"/>
        <c:axPos val="l"/>
        <c:majorGridlines/>
        <c:numFmt formatCode="0.00" sourceLinked="1"/>
        <c:majorTickMark val="out"/>
        <c:minorTickMark val="none"/>
        <c:tickLblPos val="nextTo"/>
        <c:crossAx val="332498048"/>
        <c:crosses val="autoZero"/>
        <c:crossBetween val="between"/>
        <c:majorUnit val="10"/>
      </c:valAx>
    </c:plotArea>
    <c:legend>
      <c:legendPos val="r"/>
      <c:overlay val="0"/>
      <c:txPr>
        <a:bodyPr/>
        <a:lstStyle/>
        <a:p>
          <a:pPr>
            <a:defRPr sz="800"/>
          </a:pPr>
          <a:endParaRPr lang="sr-Latn-R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9.6148871391076113E-2"/>
          <c:y val="9.178576115485565E-2"/>
          <c:w val="0.75428730062588334"/>
          <c:h val="0.80009022309711286"/>
        </c:manualLayout>
      </c:layout>
      <c:barChart>
        <c:barDir val="col"/>
        <c:grouping val="clustered"/>
        <c:varyColors val="0"/>
        <c:ser>
          <c:idx val="0"/>
          <c:order val="0"/>
          <c:tx>
            <c:v>Visina neto plaće</c:v>
          </c:tx>
          <c:invertIfNegative val="0"/>
          <c:dPt>
            <c:idx val="0"/>
            <c:invertIfNegative val="0"/>
            <c:bubble3D val="0"/>
            <c:spPr>
              <a:solidFill>
                <a:srgbClr val="C00000"/>
              </a:solidFill>
            </c:spPr>
          </c:dPt>
          <c:dLbls>
            <c:numFmt formatCode="#,##0" sourceLinked="0"/>
            <c:showLegendKey val="0"/>
            <c:showVal val="1"/>
            <c:showCatName val="0"/>
            <c:showSerName val="0"/>
            <c:showPercent val="0"/>
            <c:showBubbleSize val="0"/>
            <c:showLeaderLines val="0"/>
          </c:dLbls>
          <c:val>
            <c:numRef>
              <c:f>(List1!$P$360;List1!$U$360;List1!$Z$360;List1!$AE$360;List1!$AJ$360;List1!$AO$360)</c:f>
              <c:numCache>
                <c:formatCode>General</c:formatCode>
                <c:ptCount val="6"/>
                <c:pt idx="0" formatCode="0.00">
                  <c:v>5137</c:v>
                </c:pt>
                <c:pt idx="1">
                  <c:v>5269</c:v>
                </c:pt>
                <c:pt idx="2">
                  <c:v>5312</c:v>
                </c:pt>
                <c:pt idx="3">
                  <c:v>5031</c:v>
                </c:pt>
                <c:pt idx="4">
                  <c:v>5089</c:v>
                </c:pt>
                <c:pt idx="5">
                  <c:v>5240</c:v>
                </c:pt>
              </c:numCache>
            </c:numRef>
          </c:val>
        </c:ser>
        <c:dLbls>
          <c:showLegendKey val="0"/>
          <c:showVal val="0"/>
          <c:showCatName val="0"/>
          <c:showSerName val="0"/>
          <c:showPercent val="0"/>
          <c:showBubbleSize val="0"/>
        </c:dLbls>
        <c:gapWidth val="150"/>
        <c:axId val="332430336"/>
        <c:axId val="334152448"/>
      </c:barChart>
      <c:catAx>
        <c:axId val="332430336"/>
        <c:scaling>
          <c:orientation val="minMax"/>
        </c:scaling>
        <c:delete val="0"/>
        <c:axPos val="b"/>
        <c:majorTickMark val="out"/>
        <c:minorTickMark val="none"/>
        <c:tickLblPos val="nextTo"/>
        <c:crossAx val="334152448"/>
        <c:crosses val="autoZero"/>
        <c:auto val="1"/>
        <c:lblAlgn val="ctr"/>
        <c:lblOffset val="100"/>
        <c:noMultiLvlLbl val="0"/>
      </c:catAx>
      <c:valAx>
        <c:axId val="334152448"/>
        <c:scaling>
          <c:orientation val="minMax"/>
        </c:scaling>
        <c:delete val="0"/>
        <c:axPos val="l"/>
        <c:majorGridlines/>
        <c:numFmt formatCode="0" sourceLinked="0"/>
        <c:majorTickMark val="out"/>
        <c:minorTickMark val="none"/>
        <c:tickLblPos val="nextTo"/>
        <c:crossAx val="332430336"/>
        <c:crosses val="autoZero"/>
        <c:crossBetween val="between"/>
      </c:valAx>
    </c:plotArea>
    <c:legend>
      <c:legendPos val="r"/>
      <c:overlay val="0"/>
      <c:txPr>
        <a:bodyPr/>
        <a:lstStyle/>
        <a:p>
          <a:pPr rtl="0">
            <a:defRPr/>
          </a:pPr>
          <a:endParaRPr lang="sr-Latn-R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overlay val="0"/>
      <c:txPr>
        <a:bodyPr/>
        <a:lstStyle/>
        <a:p>
          <a:pPr>
            <a:defRPr sz="1200"/>
          </a:pPr>
          <a:endParaRPr lang="sr-Latn-RS"/>
        </a:p>
      </c:txPr>
    </c:title>
    <c:autoTitleDeleted val="0"/>
    <c:plotArea>
      <c:layout>
        <c:manualLayout>
          <c:layoutTarget val="inner"/>
          <c:xMode val="edge"/>
          <c:yMode val="edge"/>
          <c:x val="0.11323457242263321"/>
          <c:y val="0.15158529365794601"/>
          <c:w val="0.72554458890313123"/>
          <c:h val="0.77617820168388074"/>
        </c:manualLayout>
      </c:layout>
      <c:barChart>
        <c:barDir val="col"/>
        <c:grouping val="clustered"/>
        <c:varyColors val="0"/>
        <c:ser>
          <c:idx val="0"/>
          <c:order val="0"/>
          <c:tx>
            <c:v>Prosječna neto plaća (2010.)</c:v>
          </c:tx>
          <c:invertIfNegative val="0"/>
          <c:dPt>
            <c:idx val="3"/>
            <c:invertIfNegative val="0"/>
            <c:bubble3D val="0"/>
            <c:spPr>
              <a:solidFill>
                <a:srgbClr val="C00000"/>
              </a:solidFill>
            </c:spPr>
          </c:dPt>
          <c:dPt>
            <c:idx val="7"/>
            <c:invertIfNegative val="0"/>
            <c:bubble3D val="0"/>
            <c:spPr>
              <a:solidFill>
                <a:srgbClr val="C00000"/>
              </a:solidFill>
            </c:spPr>
          </c:dPt>
          <c:dPt>
            <c:idx val="10"/>
            <c:invertIfNegative val="0"/>
            <c:bubble3D val="0"/>
            <c:spPr>
              <a:solidFill>
                <a:srgbClr val="C00000"/>
              </a:solidFill>
            </c:spPr>
          </c:dPt>
          <c:dPt>
            <c:idx val="14"/>
            <c:invertIfNegative val="0"/>
            <c:bubble3D val="0"/>
            <c:spPr>
              <a:solidFill>
                <a:srgbClr val="C00000"/>
              </a:solidFill>
            </c:spPr>
          </c:dPt>
          <c:dPt>
            <c:idx val="16"/>
            <c:invertIfNegative val="0"/>
            <c:bubble3D val="0"/>
            <c:spPr>
              <a:solidFill>
                <a:srgbClr val="C00000"/>
              </a:solidFill>
            </c:spPr>
          </c:dPt>
          <c:dLbls>
            <c:numFmt formatCode="0" sourceLinked="0"/>
            <c:txPr>
              <a:bodyPr/>
              <a:lstStyle/>
              <a:p>
                <a:pPr>
                  <a:defRPr sz="800"/>
                </a:pPr>
                <a:endParaRPr lang="sr-Latn-RS"/>
              </a:p>
            </c:txPr>
            <c:showLegendKey val="0"/>
            <c:showVal val="1"/>
            <c:showCatName val="0"/>
            <c:showSerName val="0"/>
            <c:showPercent val="0"/>
            <c:showBubbleSize val="0"/>
            <c:showLeaderLines val="0"/>
          </c:dLbls>
          <c:cat>
            <c:strRef>
              <c:f>List1!$H$350:$H$368</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List1!$K$350:$K$368</c:f>
              <c:numCache>
                <c:formatCode>0.00</c:formatCode>
                <c:ptCount val="19"/>
                <c:pt idx="0">
                  <c:v>4742</c:v>
                </c:pt>
                <c:pt idx="1">
                  <c:v>4075</c:v>
                </c:pt>
                <c:pt idx="2">
                  <c:v>4379</c:v>
                </c:pt>
                <c:pt idx="3">
                  <c:v>6627</c:v>
                </c:pt>
                <c:pt idx="4">
                  <c:v>4616</c:v>
                </c:pt>
                <c:pt idx="5">
                  <c:v>4226</c:v>
                </c:pt>
                <c:pt idx="6">
                  <c:v>4046</c:v>
                </c:pt>
                <c:pt idx="7">
                  <c:v>5990</c:v>
                </c:pt>
                <c:pt idx="8">
                  <c:v>5051</c:v>
                </c:pt>
                <c:pt idx="9">
                  <c:v>4881</c:v>
                </c:pt>
                <c:pt idx="10">
                  <c:v>6941</c:v>
                </c:pt>
                <c:pt idx="11">
                  <c:v>4974</c:v>
                </c:pt>
                <c:pt idx="12">
                  <c:v>5391</c:v>
                </c:pt>
                <c:pt idx="13">
                  <c:v>3541</c:v>
                </c:pt>
                <c:pt idx="14">
                  <c:v>6310</c:v>
                </c:pt>
                <c:pt idx="15">
                  <c:v>5406</c:v>
                </c:pt>
                <c:pt idx="16">
                  <c:v>6246</c:v>
                </c:pt>
                <c:pt idx="17">
                  <c:v>4976</c:v>
                </c:pt>
                <c:pt idx="18">
                  <c:v>4216</c:v>
                </c:pt>
              </c:numCache>
            </c:numRef>
          </c:val>
        </c:ser>
        <c:dLbls>
          <c:showLegendKey val="0"/>
          <c:showVal val="0"/>
          <c:showCatName val="0"/>
          <c:showSerName val="0"/>
          <c:showPercent val="0"/>
          <c:showBubbleSize val="0"/>
        </c:dLbls>
        <c:gapWidth val="150"/>
        <c:axId val="334199424"/>
        <c:axId val="334221696"/>
      </c:barChart>
      <c:catAx>
        <c:axId val="334199424"/>
        <c:scaling>
          <c:orientation val="minMax"/>
        </c:scaling>
        <c:delete val="0"/>
        <c:axPos val="b"/>
        <c:majorTickMark val="out"/>
        <c:minorTickMark val="none"/>
        <c:tickLblPos val="nextTo"/>
        <c:crossAx val="334221696"/>
        <c:crosses val="autoZero"/>
        <c:auto val="1"/>
        <c:lblAlgn val="ctr"/>
        <c:lblOffset val="100"/>
        <c:noMultiLvlLbl val="0"/>
      </c:catAx>
      <c:valAx>
        <c:axId val="334221696"/>
        <c:scaling>
          <c:orientation val="minMax"/>
        </c:scaling>
        <c:delete val="0"/>
        <c:axPos val="l"/>
        <c:majorGridlines/>
        <c:numFmt formatCode="0.00" sourceLinked="1"/>
        <c:majorTickMark val="out"/>
        <c:minorTickMark val="none"/>
        <c:tickLblPos val="nextTo"/>
        <c:crossAx val="334199424"/>
        <c:crosses val="autoZero"/>
        <c:crossBetween val="between"/>
      </c:valAx>
    </c:plotArea>
    <c:legend>
      <c:legendPos val="r"/>
      <c:layout>
        <c:manualLayout>
          <c:xMode val="edge"/>
          <c:yMode val="edge"/>
          <c:x val="0.91070146688516729"/>
          <c:y val="4.7049804750016001E-2"/>
          <c:w val="5.3201522398532673E-2"/>
          <c:h val="0.91661953465993939"/>
        </c:manualLayout>
      </c:layout>
      <c:overlay val="0"/>
      <c:txPr>
        <a:bodyPr/>
        <a:lstStyle/>
        <a:p>
          <a:pPr>
            <a:defRPr sz="900"/>
          </a:pPr>
          <a:endParaRPr lang="sr-Latn-R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overlay val="0"/>
      <c:txPr>
        <a:bodyPr/>
        <a:lstStyle/>
        <a:p>
          <a:pPr>
            <a:defRPr sz="1400"/>
          </a:pPr>
          <a:endParaRPr lang="sr-Latn-RS"/>
        </a:p>
      </c:txPr>
    </c:title>
    <c:autoTitleDeleted val="0"/>
    <c:plotArea>
      <c:layout>
        <c:manualLayout>
          <c:layoutTarget val="inner"/>
          <c:xMode val="edge"/>
          <c:yMode val="edge"/>
          <c:x val="6.488224028968248E-2"/>
          <c:y val="0.10700315723253628"/>
          <c:w val="0.76760440195267576"/>
          <c:h val="0.82092304820527973"/>
        </c:manualLayout>
      </c:layout>
      <c:barChart>
        <c:barDir val="col"/>
        <c:grouping val="clustered"/>
        <c:varyColors val="0"/>
        <c:ser>
          <c:idx val="0"/>
          <c:order val="0"/>
          <c:tx>
            <c:v>Postotni porast plaća 2001.-2007.</c:v>
          </c:tx>
          <c:invertIfNegative val="0"/>
          <c:dPt>
            <c:idx val="0"/>
            <c:invertIfNegative val="0"/>
            <c:bubble3D val="0"/>
            <c:spPr>
              <a:solidFill>
                <a:srgbClr val="C00000"/>
              </a:solidFill>
            </c:spPr>
          </c:dPt>
          <c:dPt>
            <c:idx val="1"/>
            <c:invertIfNegative val="0"/>
            <c:bubble3D val="0"/>
            <c:spPr>
              <a:solidFill>
                <a:srgbClr val="C00000"/>
              </a:solidFill>
            </c:spPr>
          </c:dPt>
          <c:dPt>
            <c:idx val="5"/>
            <c:invertIfNegative val="0"/>
            <c:bubble3D val="0"/>
            <c:spPr>
              <a:solidFill>
                <a:srgbClr val="C00000"/>
              </a:solidFill>
            </c:spPr>
          </c:dPt>
          <c:dPt>
            <c:idx val="6"/>
            <c:invertIfNegative val="0"/>
            <c:bubble3D val="0"/>
            <c:spPr>
              <a:solidFill>
                <a:srgbClr val="C00000"/>
              </a:solidFill>
            </c:spPr>
          </c:dPt>
          <c:dPt>
            <c:idx val="10"/>
            <c:invertIfNegative val="0"/>
            <c:bubble3D val="0"/>
            <c:spPr>
              <a:solidFill>
                <a:srgbClr val="C00000"/>
              </a:solidFill>
            </c:spPr>
          </c:dPt>
          <c:dLbls>
            <c:numFmt formatCode="#,##0.0" sourceLinked="0"/>
            <c:showLegendKey val="0"/>
            <c:showVal val="1"/>
            <c:showCatName val="0"/>
            <c:showSerName val="0"/>
            <c:showPercent val="0"/>
            <c:showBubbleSize val="0"/>
            <c:showLeaderLines val="0"/>
          </c:dLbls>
          <c:cat>
            <c:strRef>
              <c:f>List1!$A$350:$A$364</c:f>
              <c:strCache>
                <c:ptCount val="15"/>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strCache>
            </c:strRef>
          </c:cat>
          <c:val>
            <c:numRef>
              <c:f>List1!$E$350:$E$364</c:f>
              <c:numCache>
                <c:formatCode>0.00</c:formatCode>
                <c:ptCount val="15"/>
                <c:pt idx="0">
                  <c:v>51.579325197415649</c:v>
                </c:pt>
                <c:pt idx="1">
                  <c:v>49.87163029525032</c:v>
                </c:pt>
                <c:pt idx="2">
                  <c:v>25.313370473537606</c:v>
                </c:pt>
                <c:pt idx="3">
                  <c:v>37.170418006430864</c:v>
                </c:pt>
                <c:pt idx="4">
                  <c:v>34.601793965751568</c:v>
                </c:pt>
                <c:pt idx="5">
                  <c:v>44.085603112840467</c:v>
                </c:pt>
                <c:pt idx="6">
                  <c:v>40.326167531504822</c:v>
                </c:pt>
                <c:pt idx="7">
                  <c:v>35.272504592774034</c:v>
                </c:pt>
                <c:pt idx="8">
                  <c:v>34.521672223647087</c:v>
                </c:pt>
                <c:pt idx="9">
                  <c:v>26.636701192104752</c:v>
                </c:pt>
                <c:pt idx="10">
                  <c:v>50.367647058823529</c:v>
                </c:pt>
                <c:pt idx="11">
                  <c:v>34.311348205625606</c:v>
                </c:pt>
                <c:pt idx="12">
                  <c:v>28.538163001293661</c:v>
                </c:pt>
                <c:pt idx="13">
                  <c:v>30.097993467102192</c:v>
                </c:pt>
                <c:pt idx="14">
                  <c:v>30.429664508534433</c:v>
                </c:pt>
              </c:numCache>
            </c:numRef>
          </c:val>
        </c:ser>
        <c:dLbls>
          <c:showLegendKey val="0"/>
          <c:showVal val="0"/>
          <c:showCatName val="0"/>
          <c:showSerName val="0"/>
          <c:showPercent val="0"/>
          <c:showBubbleSize val="0"/>
        </c:dLbls>
        <c:gapWidth val="150"/>
        <c:axId val="334355072"/>
        <c:axId val="334406016"/>
      </c:barChart>
      <c:catAx>
        <c:axId val="334355072"/>
        <c:scaling>
          <c:orientation val="minMax"/>
        </c:scaling>
        <c:delete val="0"/>
        <c:axPos val="b"/>
        <c:majorTickMark val="out"/>
        <c:minorTickMark val="none"/>
        <c:tickLblPos val="nextTo"/>
        <c:crossAx val="334406016"/>
        <c:crosses val="autoZero"/>
        <c:auto val="1"/>
        <c:lblAlgn val="ctr"/>
        <c:lblOffset val="100"/>
        <c:noMultiLvlLbl val="0"/>
      </c:catAx>
      <c:valAx>
        <c:axId val="334406016"/>
        <c:scaling>
          <c:orientation val="minMax"/>
        </c:scaling>
        <c:delete val="0"/>
        <c:axPos val="l"/>
        <c:majorGridlines/>
        <c:numFmt formatCode="0.00" sourceLinked="1"/>
        <c:majorTickMark val="out"/>
        <c:minorTickMark val="none"/>
        <c:tickLblPos val="nextTo"/>
        <c:crossAx val="334355072"/>
        <c:crosses val="autoZero"/>
        <c:crossBetween val="between"/>
      </c:valAx>
    </c:plotArea>
    <c:legend>
      <c:legendPos val="r"/>
      <c:layout>
        <c:manualLayout>
          <c:xMode val="edge"/>
          <c:yMode val="edge"/>
          <c:x val="0.90404845927470168"/>
          <c:y val="0.11368807673753667"/>
          <c:w val="4.8483195757361555E-2"/>
          <c:h val="0.83208125516307552"/>
        </c:manualLayout>
      </c:layout>
      <c:overlay val="0"/>
      <c:txPr>
        <a:bodyPr/>
        <a:lstStyle/>
        <a:p>
          <a:pPr>
            <a:defRPr sz="800"/>
          </a:pPr>
          <a:endParaRPr lang="sr-Latn-R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tx>
            <c:strRef>
              <c:f>List1!$AW$352</c:f>
              <c:strCache>
                <c:ptCount val="1"/>
                <c:pt idx="0">
                  <c:v>visina plaće</c:v>
                </c:pt>
              </c:strCache>
            </c:strRef>
          </c:tx>
          <c:marker>
            <c:symbol val="none"/>
          </c:marker>
          <c:dLbls>
            <c:dLbl>
              <c:idx val="0"/>
              <c:layout>
                <c:manualLayout>
                  <c:x val="3.5714098237720288E-2"/>
                  <c:y val="6.6842549645759419E-2"/>
                </c:manualLayout>
              </c:layout>
              <c:showLegendKey val="0"/>
              <c:showVal val="1"/>
              <c:showCatName val="0"/>
              <c:showSerName val="0"/>
              <c:showPercent val="0"/>
              <c:showBubbleSize val="0"/>
            </c:dLbl>
            <c:dLbl>
              <c:idx val="1"/>
              <c:layout>
                <c:manualLayout>
                  <c:x val="-1.1904761904761904E-2"/>
                  <c:y val="1.7590144643620898E-2"/>
                </c:manualLayout>
              </c:layout>
              <c:showLegendKey val="0"/>
              <c:showVal val="1"/>
              <c:showCatName val="0"/>
              <c:showSerName val="0"/>
              <c:showPercent val="0"/>
              <c:showBubbleSize val="0"/>
            </c:dLbl>
            <c:dLbl>
              <c:idx val="3"/>
              <c:layout>
                <c:manualLayout>
                  <c:x val="-1.4285714285714285E-2"/>
                  <c:y val="-2.4626202501069259E-2"/>
                </c:manualLayout>
              </c:layout>
              <c:showLegendKey val="0"/>
              <c:showVal val="1"/>
              <c:showCatName val="0"/>
              <c:showSerName val="0"/>
              <c:showPercent val="0"/>
              <c:showBubbleSize val="0"/>
            </c:dLbl>
            <c:dLbl>
              <c:idx val="4"/>
              <c:layout>
                <c:manualLayout>
                  <c:x val="-4.365028939892569E-17"/>
                  <c:y val="-5.2770433930862698E-2"/>
                </c:manualLayout>
              </c:layout>
              <c:showLegendKey val="0"/>
              <c:showVal val="1"/>
              <c:showCatName val="0"/>
              <c:showSerName val="0"/>
              <c:showPercent val="0"/>
              <c:showBubbleSize val="0"/>
            </c:dLbl>
            <c:dLbl>
              <c:idx val="5"/>
              <c:layout>
                <c:manualLayout>
                  <c:x val="2.6190476190476191E-2"/>
                  <c:y val="-3.1662260358517616E-2"/>
                </c:manualLayout>
              </c:layout>
              <c:showLegendKey val="0"/>
              <c:showVal val="1"/>
              <c:showCatName val="0"/>
              <c:showSerName val="0"/>
              <c:showPercent val="0"/>
              <c:showBubbleSize val="0"/>
            </c:dLbl>
            <c:dLbl>
              <c:idx val="6"/>
              <c:layout>
                <c:manualLayout>
                  <c:x val="2.8571428571428595E-2"/>
                  <c:y val="7.0360578574483598E-3"/>
                </c:manualLayout>
              </c:layout>
              <c:showLegendKey val="0"/>
              <c:showVal val="1"/>
              <c:showCatName val="0"/>
              <c:showSerName val="0"/>
              <c:showPercent val="0"/>
              <c:showBubbleSize val="0"/>
            </c:dLbl>
            <c:dLbl>
              <c:idx val="7"/>
              <c:layout>
                <c:manualLayout>
                  <c:x val="1.1904761904761904E-2"/>
                  <c:y val="3.5180289287241796E-2"/>
                </c:manualLayout>
              </c:layout>
              <c:showLegendKey val="0"/>
              <c:showVal val="1"/>
              <c:showCatName val="0"/>
              <c:showSerName val="0"/>
              <c:showPercent val="0"/>
              <c:showBubbleSize val="0"/>
            </c:dLbl>
            <c:numFmt formatCode="#,##0" sourceLinked="0"/>
            <c:txPr>
              <a:bodyPr/>
              <a:lstStyle/>
              <a:p>
                <a:pPr>
                  <a:defRPr sz="900" b="1">
                    <a:solidFill>
                      <a:schemeClr val="tx2"/>
                    </a:solidFill>
                  </a:defRPr>
                </a:pPr>
                <a:endParaRPr lang="sr-Latn-RS"/>
              </a:p>
            </c:txPr>
            <c:showLegendKey val="0"/>
            <c:showVal val="1"/>
            <c:showCatName val="0"/>
            <c:showSerName val="0"/>
            <c:showPercent val="0"/>
            <c:showBubbleSize val="0"/>
            <c:showLeaderLines val="0"/>
          </c:dLbls>
          <c:cat>
            <c:strRef>
              <c:f>List1!$AU$353:$AU$360</c:f>
              <c:strCache>
                <c:ptCount val="8"/>
                <c:pt idx="0">
                  <c:v>visoka </c:v>
                </c:pt>
                <c:pt idx="1">
                  <c:v>viša </c:v>
                </c:pt>
                <c:pt idx="2">
                  <c:v>srednja </c:v>
                </c:pt>
                <c:pt idx="3">
                  <c:v>niža</c:v>
                </c:pt>
                <c:pt idx="4">
                  <c:v>VKV</c:v>
                </c:pt>
                <c:pt idx="5">
                  <c:v>KV</c:v>
                </c:pt>
                <c:pt idx="6">
                  <c:v>PKV</c:v>
                </c:pt>
                <c:pt idx="7">
                  <c:v>NKV</c:v>
                </c:pt>
              </c:strCache>
            </c:strRef>
          </c:cat>
          <c:val>
            <c:numRef>
              <c:f>List1!$AW$353:$AW$360</c:f>
              <c:numCache>
                <c:formatCode>General</c:formatCode>
                <c:ptCount val="8"/>
                <c:pt idx="0">
                  <c:v>7451</c:v>
                </c:pt>
                <c:pt idx="1">
                  <c:v>6288</c:v>
                </c:pt>
                <c:pt idx="2">
                  <c:v>4527</c:v>
                </c:pt>
                <c:pt idx="3">
                  <c:v>3346</c:v>
                </c:pt>
                <c:pt idx="4">
                  <c:v>5446</c:v>
                </c:pt>
                <c:pt idx="5">
                  <c:v>4226</c:v>
                </c:pt>
                <c:pt idx="6">
                  <c:v>3844</c:v>
                </c:pt>
                <c:pt idx="7">
                  <c:v>3372</c:v>
                </c:pt>
              </c:numCache>
            </c:numRef>
          </c:val>
        </c:ser>
        <c:ser>
          <c:idx val="1"/>
          <c:order val="1"/>
          <c:tx>
            <c:strRef>
              <c:f>List1!$AV$352</c:f>
              <c:strCache>
                <c:ptCount val="1"/>
                <c:pt idx="0">
                  <c:v>prosječna plaća</c:v>
                </c:pt>
              </c:strCache>
            </c:strRef>
          </c:tx>
          <c:spPr>
            <a:ln w="38100"/>
          </c:spPr>
          <c:marker>
            <c:symbol val="none"/>
          </c:marker>
          <c:cat>
            <c:strRef>
              <c:f>List1!$AU$353:$AU$360</c:f>
              <c:strCache>
                <c:ptCount val="8"/>
                <c:pt idx="0">
                  <c:v>visoka </c:v>
                </c:pt>
                <c:pt idx="1">
                  <c:v>viša </c:v>
                </c:pt>
                <c:pt idx="2">
                  <c:v>srednja </c:v>
                </c:pt>
                <c:pt idx="3">
                  <c:v>niža</c:v>
                </c:pt>
                <c:pt idx="4">
                  <c:v>VKV</c:v>
                </c:pt>
                <c:pt idx="5">
                  <c:v>KV</c:v>
                </c:pt>
                <c:pt idx="6">
                  <c:v>PKV</c:v>
                </c:pt>
                <c:pt idx="7">
                  <c:v>NKV</c:v>
                </c:pt>
              </c:strCache>
            </c:strRef>
          </c:cat>
          <c:val>
            <c:numRef>
              <c:f>List1!$AV$353:$AV$360</c:f>
              <c:numCache>
                <c:formatCode>General</c:formatCode>
                <c:ptCount val="8"/>
                <c:pt idx="0">
                  <c:v>5137</c:v>
                </c:pt>
                <c:pt idx="1">
                  <c:v>5137</c:v>
                </c:pt>
                <c:pt idx="2">
                  <c:v>5137</c:v>
                </c:pt>
                <c:pt idx="3">
                  <c:v>5137</c:v>
                </c:pt>
                <c:pt idx="4">
                  <c:v>5137</c:v>
                </c:pt>
                <c:pt idx="5">
                  <c:v>5137</c:v>
                </c:pt>
                <c:pt idx="6">
                  <c:v>5137</c:v>
                </c:pt>
                <c:pt idx="7">
                  <c:v>5137</c:v>
                </c:pt>
              </c:numCache>
            </c:numRef>
          </c:val>
        </c:ser>
        <c:dLbls>
          <c:showLegendKey val="0"/>
          <c:showVal val="0"/>
          <c:showCatName val="0"/>
          <c:showSerName val="0"/>
          <c:showPercent val="0"/>
          <c:showBubbleSize val="0"/>
        </c:dLbls>
        <c:axId val="336336384"/>
        <c:axId val="336337920"/>
      </c:radarChart>
      <c:catAx>
        <c:axId val="336336384"/>
        <c:scaling>
          <c:orientation val="minMax"/>
        </c:scaling>
        <c:delete val="0"/>
        <c:axPos val="b"/>
        <c:majorGridlines/>
        <c:majorTickMark val="out"/>
        <c:minorTickMark val="none"/>
        <c:tickLblPos val="nextTo"/>
        <c:crossAx val="336337920"/>
        <c:crosses val="autoZero"/>
        <c:auto val="1"/>
        <c:lblAlgn val="ctr"/>
        <c:lblOffset val="100"/>
        <c:noMultiLvlLbl val="0"/>
      </c:catAx>
      <c:valAx>
        <c:axId val="336337920"/>
        <c:scaling>
          <c:orientation val="minMax"/>
        </c:scaling>
        <c:delete val="0"/>
        <c:axPos val="l"/>
        <c:majorGridlines/>
        <c:numFmt formatCode="General" sourceLinked="1"/>
        <c:majorTickMark val="cross"/>
        <c:minorTickMark val="none"/>
        <c:tickLblPos val="nextTo"/>
        <c:crossAx val="336336384"/>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a:pPr>
            <a:r>
              <a:rPr lang="en-US"/>
              <a:t>Struktura</a:t>
            </a:r>
            <a:r>
              <a:rPr lang="hr-HR"/>
              <a:t> zaposlenosti u gradu Zadru, 2011. godina</a:t>
            </a:r>
            <a:r>
              <a:rPr lang="en-US"/>
              <a:t> </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1"/>
            <c:showSerName val="0"/>
            <c:showPercent val="1"/>
            <c:showBubbleSize val="0"/>
            <c:showLeaderLines val="1"/>
          </c:dLbls>
          <c:cat>
            <c:strRef>
              <c:f>'LQ, Shift-Share...'!$A$4:$A$22</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'LQ, Shift-Share...'!$C$4:$C$22</c:f>
              <c:numCache>
                <c:formatCode>General</c:formatCode>
                <c:ptCount val="19"/>
                <c:pt idx="0">
                  <c:v>292</c:v>
                </c:pt>
                <c:pt idx="1">
                  <c:v>30</c:v>
                </c:pt>
                <c:pt idx="2">
                  <c:v>1633</c:v>
                </c:pt>
                <c:pt idx="3">
                  <c:v>287</c:v>
                </c:pt>
                <c:pt idx="4">
                  <c:v>690</c:v>
                </c:pt>
                <c:pt idx="5">
                  <c:v>1185</c:v>
                </c:pt>
                <c:pt idx="6">
                  <c:v>4268</c:v>
                </c:pt>
                <c:pt idx="7">
                  <c:v>1299</c:v>
                </c:pt>
                <c:pt idx="8">
                  <c:v>705</c:v>
                </c:pt>
                <c:pt idx="9">
                  <c:v>402</c:v>
                </c:pt>
                <c:pt idx="10">
                  <c:v>870</c:v>
                </c:pt>
                <c:pt idx="11">
                  <c:v>51</c:v>
                </c:pt>
                <c:pt idx="12">
                  <c:v>738</c:v>
                </c:pt>
                <c:pt idx="13">
                  <c:v>1146</c:v>
                </c:pt>
                <c:pt idx="14">
                  <c:v>2134</c:v>
                </c:pt>
                <c:pt idx="15">
                  <c:v>2574</c:v>
                </c:pt>
                <c:pt idx="16">
                  <c:v>1863</c:v>
                </c:pt>
                <c:pt idx="17">
                  <c:v>627</c:v>
                </c:pt>
                <c:pt idx="18">
                  <c:v>153</c:v>
                </c:pt>
              </c:numCache>
            </c:numRef>
          </c:val>
        </c:ser>
        <c:dLbls>
          <c:showLegendKey val="0"/>
          <c:showVal val="0"/>
          <c:showCatName val="1"/>
          <c:showSerName val="0"/>
          <c:showPercent val="1"/>
          <c:showBubbleSize val="0"/>
          <c:showLeaderLines val="1"/>
        </c:dLbls>
      </c:pie3DChart>
    </c:plotArea>
    <c:plotVisOnly val="1"/>
    <c:dispBlanksAs val="gap"/>
    <c:showDLblsOverMax val="0"/>
  </c:chart>
  <c:txPr>
    <a:bodyPr/>
    <a:lstStyle/>
    <a:p>
      <a:pPr>
        <a:defRPr sz="900">
          <a:latin typeface="Times New Roman" pitchFamily="18" charset="0"/>
          <a:cs typeface="Times New Roman" pitchFamily="18" charset="0"/>
        </a:defRPr>
      </a:pPr>
      <a:endParaRPr lang="sr-Latn-R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5.3703639852042087E-2"/>
          <c:y val="3.1563659416380549E-2"/>
          <c:w val="0.84142570126616911"/>
          <c:h val="0.89721630380911999"/>
        </c:manualLayout>
      </c:layout>
      <c:barChart>
        <c:barDir val="col"/>
        <c:grouping val="clustered"/>
        <c:varyColors val="0"/>
        <c:ser>
          <c:idx val="0"/>
          <c:order val="0"/>
          <c:tx>
            <c:v>Zadar prema Istri</c:v>
          </c:tx>
          <c:invertIfNegative val="0"/>
          <c:dPt>
            <c:idx val="4"/>
            <c:invertIfNegative val="0"/>
            <c:bubble3D val="0"/>
            <c:spPr>
              <a:solidFill>
                <a:schemeClr val="tx1">
                  <a:lumMod val="50000"/>
                  <a:lumOff val="50000"/>
                </a:schemeClr>
              </a:solidFill>
            </c:spPr>
          </c:dPt>
          <c:dPt>
            <c:idx val="14"/>
            <c:invertIfNegative val="0"/>
            <c:bubble3D val="0"/>
            <c:spPr>
              <a:solidFill>
                <a:schemeClr val="tx1">
                  <a:lumMod val="50000"/>
                  <a:lumOff val="50000"/>
                </a:schemeClr>
              </a:solidFill>
            </c:spPr>
          </c:dPt>
          <c:dPt>
            <c:idx val="15"/>
            <c:invertIfNegative val="0"/>
            <c:bubble3D val="0"/>
            <c:spPr>
              <a:solidFill>
                <a:schemeClr val="tx1">
                  <a:lumMod val="50000"/>
                  <a:lumOff val="50000"/>
                </a:schemeClr>
              </a:solidFill>
            </c:spPr>
          </c:dPt>
          <c:dPt>
            <c:idx val="16"/>
            <c:invertIfNegative val="0"/>
            <c:bubble3D val="0"/>
            <c:spPr>
              <a:solidFill>
                <a:schemeClr val="tx1">
                  <a:lumMod val="50000"/>
                  <a:lumOff val="50000"/>
                </a:schemeClr>
              </a:solidFill>
            </c:spPr>
          </c:dPt>
          <c:dPt>
            <c:idx val="17"/>
            <c:invertIfNegative val="0"/>
            <c:bubble3D val="0"/>
            <c:spPr>
              <a:solidFill>
                <a:schemeClr val="tx1">
                  <a:lumMod val="50000"/>
                  <a:lumOff val="50000"/>
                </a:schemeClr>
              </a:solidFill>
            </c:spPr>
          </c:dPt>
          <c:cat>
            <c:strRef>
              <c:f>'LQ, Shift-Share...'!$U$4:$U$22</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'LQ, Shift-Share...'!$X$4:$X$22</c:f>
              <c:numCache>
                <c:formatCode>0.00</c:formatCode>
                <c:ptCount val="19"/>
                <c:pt idx="0">
                  <c:v>1.44944944318226</c:v>
                </c:pt>
                <c:pt idx="1">
                  <c:v>0.36335513438678568</c:v>
                </c:pt>
                <c:pt idx="2">
                  <c:v>0.3624820402706001</c:v>
                </c:pt>
                <c:pt idx="3">
                  <c:v>0.94459169899463313</c:v>
                </c:pt>
                <c:pt idx="4">
                  <c:v>1.1961595549946666</c:v>
                </c:pt>
                <c:pt idx="5">
                  <c:v>0.83922005115970832</c:v>
                </c:pt>
                <c:pt idx="6">
                  <c:v>1.4161692258274701</c:v>
                </c:pt>
                <c:pt idx="7">
                  <c:v>1.6335890155806458</c:v>
                </c:pt>
                <c:pt idx="8">
                  <c:v>0.36236142456999798</c:v>
                </c:pt>
                <c:pt idx="9">
                  <c:v>0.91674956500096982</c:v>
                </c:pt>
                <c:pt idx="10">
                  <c:v>1.3979317522840666</c:v>
                </c:pt>
                <c:pt idx="11">
                  <c:v>0.29259650295356959</c:v>
                </c:pt>
                <c:pt idx="12">
                  <c:v>0.96598014833374601</c:v>
                </c:pt>
                <c:pt idx="13">
                  <c:v>1.6835781024552143</c:v>
                </c:pt>
                <c:pt idx="14">
                  <c:v>1.3214039822450592</c:v>
                </c:pt>
                <c:pt idx="15">
                  <c:v>1.3050364408068647</c:v>
                </c:pt>
                <c:pt idx="16">
                  <c:v>1.5689059379540677</c:v>
                </c:pt>
                <c:pt idx="17">
                  <c:v>1.3103355210535734</c:v>
                </c:pt>
                <c:pt idx="18">
                  <c:v>0.8614669766711498</c:v>
                </c:pt>
              </c:numCache>
            </c:numRef>
          </c:val>
        </c:ser>
        <c:ser>
          <c:idx val="1"/>
          <c:order val="1"/>
          <c:tx>
            <c:v>Zadar prema RH</c:v>
          </c:tx>
          <c:invertIfNegative val="0"/>
          <c:dPt>
            <c:idx val="4"/>
            <c:invertIfNegative val="0"/>
            <c:bubble3D val="0"/>
            <c:spPr>
              <a:solidFill>
                <a:schemeClr val="bg1">
                  <a:lumMod val="65000"/>
                </a:schemeClr>
              </a:solidFill>
            </c:spPr>
          </c:dPt>
          <c:dPt>
            <c:idx val="14"/>
            <c:invertIfNegative val="0"/>
            <c:bubble3D val="0"/>
            <c:spPr>
              <a:solidFill>
                <a:schemeClr val="bg1">
                  <a:lumMod val="65000"/>
                </a:schemeClr>
              </a:solidFill>
            </c:spPr>
          </c:dPt>
          <c:dPt>
            <c:idx val="15"/>
            <c:invertIfNegative val="0"/>
            <c:bubble3D val="0"/>
            <c:spPr>
              <a:solidFill>
                <a:schemeClr val="bg1">
                  <a:lumMod val="65000"/>
                </a:schemeClr>
              </a:solidFill>
            </c:spPr>
          </c:dPt>
          <c:dPt>
            <c:idx val="16"/>
            <c:invertIfNegative val="0"/>
            <c:bubble3D val="0"/>
            <c:spPr>
              <a:solidFill>
                <a:schemeClr val="bg1">
                  <a:lumMod val="65000"/>
                </a:schemeClr>
              </a:solidFill>
            </c:spPr>
          </c:dPt>
          <c:dPt>
            <c:idx val="17"/>
            <c:invertIfNegative val="0"/>
            <c:bubble3D val="0"/>
            <c:spPr>
              <a:solidFill>
                <a:schemeClr val="bg1">
                  <a:lumMod val="65000"/>
                </a:schemeClr>
              </a:solidFill>
            </c:spPr>
          </c:dPt>
          <c:dLbls>
            <c:dLbl>
              <c:idx val="4"/>
              <c:spPr/>
              <c:txPr>
                <a:bodyPr/>
                <a:lstStyle/>
                <a:p>
                  <a:pPr>
                    <a:defRPr>
                      <a:solidFill>
                        <a:srgbClr val="FF0000"/>
                      </a:solidFill>
                    </a:defRPr>
                  </a:pPr>
                  <a:endParaRPr lang="sr-Latn-RS"/>
                </a:p>
              </c:txPr>
              <c:showLegendKey val="0"/>
              <c:showVal val="1"/>
              <c:showCatName val="0"/>
              <c:showSerName val="0"/>
              <c:showPercent val="0"/>
              <c:showBubbleSize val="0"/>
            </c:dLbl>
            <c:dLbl>
              <c:idx val="6"/>
              <c:spPr/>
              <c:txPr>
                <a:bodyPr/>
                <a:lstStyle/>
                <a:p>
                  <a:pPr>
                    <a:defRPr>
                      <a:solidFill>
                        <a:srgbClr val="FF0000"/>
                      </a:solidFill>
                    </a:defRPr>
                  </a:pPr>
                  <a:endParaRPr lang="sr-Latn-RS"/>
                </a:p>
              </c:txPr>
              <c:showLegendKey val="0"/>
              <c:showVal val="1"/>
              <c:showCatName val="0"/>
              <c:showSerName val="0"/>
              <c:showPercent val="0"/>
              <c:showBubbleSize val="0"/>
            </c:dLbl>
            <c:dLbl>
              <c:idx val="7"/>
              <c:spPr/>
              <c:txPr>
                <a:bodyPr/>
                <a:lstStyle/>
                <a:p>
                  <a:pPr>
                    <a:defRPr>
                      <a:solidFill>
                        <a:srgbClr val="FF0000"/>
                      </a:solidFill>
                    </a:defRPr>
                  </a:pPr>
                  <a:endParaRPr lang="sr-Latn-RS"/>
                </a:p>
              </c:txPr>
              <c:showLegendKey val="0"/>
              <c:showVal val="1"/>
              <c:showCatName val="0"/>
              <c:showSerName val="0"/>
              <c:showPercent val="0"/>
              <c:showBubbleSize val="0"/>
            </c:dLbl>
            <c:dLbl>
              <c:idx val="8"/>
              <c:spPr/>
              <c:txPr>
                <a:bodyPr/>
                <a:lstStyle/>
                <a:p>
                  <a:pPr>
                    <a:defRPr>
                      <a:solidFill>
                        <a:srgbClr val="FF0000"/>
                      </a:solidFill>
                    </a:defRPr>
                  </a:pPr>
                  <a:endParaRPr lang="sr-Latn-RS"/>
                </a:p>
              </c:txPr>
              <c:showLegendKey val="0"/>
              <c:showVal val="1"/>
              <c:showCatName val="0"/>
              <c:showSerName val="0"/>
              <c:showPercent val="0"/>
              <c:showBubbleSize val="0"/>
            </c:dLbl>
            <c:dLbl>
              <c:idx val="10"/>
              <c:spPr/>
              <c:txPr>
                <a:bodyPr/>
                <a:lstStyle/>
                <a:p>
                  <a:pPr>
                    <a:defRPr>
                      <a:solidFill>
                        <a:srgbClr val="FF0000"/>
                      </a:solidFill>
                    </a:defRPr>
                  </a:pPr>
                  <a:endParaRPr lang="sr-Latn-RS"/>
                </a:p>
              </c:txPr>
              <c:showLegendKey val="0"/>
              <c:showVal val="1"/>
              <c:showCatName val="0"/>
              <c:showSerName val="0"/>
              <c:showPercent val="0"/>
              <c:showBubbleSize val="0"/>
            </c:dLbl>
            <c:dLbl>
              <c:idx val="13"/>
              <c:spPr/>
              <c:txPr>
                <a:bodyPr/>
                <a:lstStyle/>
                <a:p>
                  <a:pPr>
                    <a:defRPr>
                      <a:solidFill>
                        <a:srgbClr val="FF0000"/>
                      </a:solidFill>
                    </a:defRPr>
                  </a:pPr>
                  <a:endParaRPr lang="sr-Latn-RS"/>
                </a:p>
              </c:txPr>
              <c:showLegendKey val="0"/>
              <c:showVal val="1"/>
              <c:showCatName val="0"/>
              <c:showSerName val="0"/>
              <c:showPercent val="0"/>
              <c:showBubbleSize val="0"/>
            </c:dLbl>
            <c:dLbl>
              <c:idx val="14"/>
              <c:spPr/>
              <c:txPr>
                <a:bodyPr/>
                <a:lstStyle/>
                <a:p>
                  <a:pPr>
                    <a:defRPr>
                      <a:solidFill>
                        <a:srgbClr val="FF0000"/>
                      </a:solidFill>
                    </a:defRPr>
                  </a:pPr>
                  <a:endParaRPr lang="sr-Latn-RS"/>
                </a:p>
              </c:txPr>
              <c:showLegendKey val="0"/>
              <c:showVal val="1"/>
              <c:showCatName val="0"/>
              <c:showSerName val="0"/>
              <c:showPercent val="0"/>
              <c:showBubbleSize val="0"/>
            </c:dLbl>
            <c:dLbl>
              <c:idx val="15"/>
              <c:spPr/>
              <c:txPr>
                <a:bodyPr/>
                <a:lstStyle/>
                <a:p>
                  <a:pPr>
                    <a:defRPr>
                      <a:solidFill>
                        <a:srgbClr val="FF0000"/>
                      </a:solidFill>
                    </a:defRPr>
                  </a:pPr>
                  <a:endParaRPr lang="sr-Latn-RS"/>
                </a:p>
              </c:txPr>
              <c:showLegendKey val="0"/>
              <c:showVal val="1"/>
              <c:showCatName val="0"/>
              <c:showSerName val="0"/>
              <c:showPercent val="0"/>
              <c:showBubbleSize val="0"/>
            </c:dLbl>
            <c:dLbl>
              <c:idx val="16"/>
              <c:spPr/>
              <c:txPr>
                <a:bodyPr/>
                <a:lstStyle/>
                <a:p>
                  <a:pPr>
                    <a:defRPr>
                      <a:solidFill>
                        <a:srgbClr val="FF0000"/>
                      </a:solidFill>
                    </a:defRPr>
                  </a:pPr>
                  <a:endParaRPr lang="sr-Latn-RS"/>
                </a:p>
              </c:txPr>
              <c:showLegendKey val="0"/>
              <c:showVal val="1"/>
              <c:showCatName val="0"/>
              <c:showSerName val="0"/>
              <c:showPercent val="0"/>
              <c:showBubbleSize val="0"/>
            </c:dLbl>
            <c:dLbl>
              <c:idx val="17"/>
              <c:spPr/>
              <c:txPr>
                <a:bodyPr/>
                <a:lstStyle/>
                <a:p>
                  <a:pPr>
                    <a:defRPr>
                      <a:solidFill>
                        <a:srgbClr val="FF0000"/>
                      </a:solidFill>
                    </a:defRPr>
                  </a:pPr>
                  <a:endParaRPr lang="sr-Latn-RS"/>
                </a:p>
              </c:txPr>
              <c:showLegendKey val="0"/>
              <c:showVal val="1"/>
              <c:showCatName val="0"/>
              <c:showSerName val="0"/>
              <c:showPercent val="0"/>
              <c:showBubbleSize val="0"/>
            </c:dLbl>
            <c:showLegendKey val="0"/>
            <c:showVal val="1"/>
            <c:showCatName val="0"/>
            <c:showSerName val="0"/>
            <c:showPercent val="0"/>
            <c:showBubbleSize val="0"/>
            <c:showLeaderLines val="0"/>
          </c:dLbls>
          <c:cat>
            <c:strRef>
              <c:f>'LQ, Shift-Share...'!$U$4:$U$22</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'LQ, Shift-Share...'!$Y$4:$Y$22</c:f>
              <c:numCache>
                <c:formatCode>0.00</c:formatCode>
                <c:ptCount val="19"/>
                <c:pt idx="0">
                  <c:v>0.65553187108640054</c:v>
                </c:pt>
                <c:pt idx="1">
                  <c:v>0.25182062546699541</c:v>
                </c:pt>
                <c:pt idx="2">
                  <c:v>0.40633919051353035</c:v>
                </c:pt>
                <c:pt idx="3">
                  <c:v>0.89256066616277629</c:v>
                </c:pt>
                <c:pt idx="4">
                  <c:v>1.6573313665162612</c:v>
                </c:pt>
                <c:pt idx="5">
                  <c:v>0.80707940581452142</c:v>
                </c:pt>
                <c:pt idx="6">
                  <c:v>1.3095052858257705</c:v>
                </c:pt>
                <c:pt idx="7">
                  <c:v>1.1217995507888818</c:v>
                </c:pt>
                <c:pt idx="8">
                  <c:v>1.064267342886583</c:v>
                </c:pt>
                <c:pt idx="9">
                  <c:v>0.69643924505120824</c:v>
                </c:pt>
                <c:pt idx="10">
                  <c:v>1.2483537441422605</c:v>
                </c:pt>
                <c:pt idx="11">
                  <c:v>0.58338538187482836</c:v>
                </c:pt>
                <c:pt idx="12">
                  <c:v>0.88137569540885685</c:v>
                </c:pt>
                <c:pt idx="13">
                  <c:v>1.8968079030970724</c:v>
                </c:pt>
                <c:pt idx="14">
                  <c:v>1.0459592092583381</c:v>
                </c:pt>
                <c:pt idx="15">
                  <c:v>1.2419154677916933</c:v>
                </c:pt>
                <c:pt idx="16">
                  <c:v>1.1749914338493472</c:v>
                </c:pt>
                <c:pt idx="17">
                  <c:v>1.7211311139336094</c:v>
                </c:pt>
                <c:pt idx="18">
                  <c:v>0.72132214173365317</c:v>
                </c:pt>
              </c:numCache>
            </c:numRef>
          </c:val>
        </c:ser>
        <c:dLbls>
          <c:showLegendKey val="0"/>
          <c:showVal val="0"/>
          <c:showCatName val="0"/>
          <c:showSerName val="0"/>
          <c:showPercent val="0"/>
          <c:showBubbleSize val="0"/>
        </c:dLbls>
        <c:gapWidth val="150"/>
        <c:axId val="337983744"/>
        <c:axId val="338030592"/>
      </c:barChart>
      <c:catAx>
        <c:axId val="337983744"/>
        <c:scaling>
          <c:orientation val="minMax"/>
        </c:scaling>
        <c:delete val="0"/>
        <c:axPos val="b"/>
        <c:majorTickMark val="out"/>
        <c:minorTickMark val="none"/>
        <c:tickLblPos val="nextTo"/>
        <c:crossAx val="338030592"/>
        <c:crosses val="autoZero"/>
        <c:auto val="1"/>
        <c:lblAlgn val="ctr"/>
        <c:lblOffset val="100"/>
        <c:noMultiLvlLbl val="0"/>
      </c:catAx>
      <c:valAx>
        <c:axId val="338030592"/>
        <c:scaling>
          <c:orientation val="minMax"/>
        </c:scaling>
        <c:delete val="0"/>
        <c:axPos val="l"/>
        <c:majorGridlines/>
        <c:numFmt formatCode="0.00" sourceLinked="1"/>
        <c:majorTickMark val="out"/>
        <c:minorTickMark val="none"/>
        <c:tickLblPos val="nextTo"/>
        <c:crossAx val="337983744"/>
        <c:crosses val="autoZero"/>
        <c:crossBetween val="between"/>
      </c:valAx>
    </c:plotArea>
    <c:legend>
      <c:legendPos val="r"/>
      <c:layout>
        <c:manualLayout>
          <c:xMode val="edge"/>
          <c:yMode val="edge"/>
          <c:x val="0.9020263191497182"/>
          <c:y val="0.43596134251603802"/>
          <c:w val="8.4965539679225807E-2"/>
          <c:h val="0.33576967003684166"/>
        </c:manualLayout>
      </c:layout>
      <c:overlay val="0"/>
    </c:legend>
    <c:plotVisOnly val="1"/>
    <c:dispBlanksAs val="gap"/>
    <c:showDLblsOverMax val="0"/>
  </c:chart>
  <c:txPr>
    <a:bodyPr/>
    <a:lstStyle/>
    <a:p>
      <a:pPr>
        <a:defRPr sz="800">
          <a:latin typeface="Times New Roman" pitchFamily="18" charset="0"/>
          <a:cs typeface="Times New Roman" pitchFamily="18" charset="0"/>
        </a:defRPr>
      </a:pPr>
      <a:endParaRPr lang="sr-Latn-R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1050"/>
            </a:pPr>
            <a:r>
              <a:rPr lang="hr-HR" sz="1050"/>
              <a:t>Promjena zaposlenosti 2001.-2008. po djelatnostima za izabrana područja</a:t>
            </a:r>
          </a:p>
        </c:rich>
      </c:tx>
      <c:overlay val="0"/>
    </c:title>
    <c:autoTitleDeleted val="0"/>
    <c:plotArea>
      <c:layout/>
      <c:barChart>
        <c:barDir val="col"/>
        <c:grouping val="clustered"/>
        <c:varyColors val="0"/>
        <c:ser>
          <c:idx val="0"/>
          <c:order val="0"/>
          <c:tx>
            <c:v>ZADAR</c:v>
          </c:tx>
          <c:invertIfNegative val="0"/>
          <c:dLbls>
            <c:dLbl>
              <c:idx val="6"/>
              <c:layout>
                <c:manualLayout>
                  <c:x val="0"/>
                  <c:y val="-4.0082032455715663E-2"/>
                </c:manualLayout>
              </c:layout>
              <c:showLegendKey val="0"/>
              <c:showVal val="1"/>
              <c:showCatName val="0"/>
              <c:showSerName val="0"/>
              <c:showPercent val="0"/>
              <c:showBubbleSize val="0"/>
            </c:dLbl>
            <c:txPr>
              <a:bodyPr/>
              <a:lstStyle/>
              <a:p>
                <a:pPr>
                  <a:defRPr sz="800"/>
                </a:pPr>
                <a:endParaRPr lang="sr-Latn-RS"/>
              </a:p>
            </c:txPr>
            <c:showLegendKey val="0"/>
            <c:showVal val="1"/>
            <c:showCatName val="0"/>
            <c:showSerName val="0"/>
            <c:showPercent val="0"/>
            <c:showBubbleSize val="0"/>
            <c:showLeaderLines val="0"/>
          </c:dLbls>
          <c:cat>
            <c:strRef>
              <c:f>'2001-2008'!$V$3:$V$16</c:f>
              <c:strCache>
                <c:ptCount val="14"/>
                <c:pt idx="0">
                  <c:v>A</c:v>
                </c:pt>
                <c:pt idx="1">
                  <c:v>B</c:v>
                </c:pt>
                <c:pt idx="2">
                  <c:v>D</c:v>
                </c:pt>
                <c:pt idx="3">
                  <c:v>E</c:v>
                </c:pt>
                <c:pt idx="4">
                  <c:v>F</c:v>
                </c:pt>
                <c:pt idx="5">
                  <c:v>G</c:v>
                </c:pt>
                <c:pt idx="6">
                  <c:v>H</c:v>
                </c:pt>
                <c:pt idx="7">
                  <c:v>I</c:v>
                </c:pt>
                <c:pt idx="8">
                  <c:v>J</c:v>
                </c:pt>
                <c:pt idx="9">
                  <c:v>K</c:v>
                </c:pt>
                <c:pt idx="10">
                  <c:v>L</c:v>
                </c:pt>
                <c:pt idx="11">
                  <c:v>M</c:v>
                </c:pt>
                <c:pt idx="12">
                  <c:v>N</c:v>
                </c:pt>
                <c:pt idx="13">
                  <c:v>O</c:v>
                </c:pt>
              </c:strCache>
            </c:strRef>
          </c:cat>
          <c:val>
            <c:numRef>
              <c:f>'2001-2008'!$W$3:$W$16</c:f>
              <c:numCache>
                <c:formatCode>0.00</c:formatCode>
                <c:ptCount val="14"/>
                <c:pt idx="0">
                  <c:v>-13.419913419913421</c:v>
                </c:pt>
                <c:pt idx="1">
                  <c:v>-40.397350993377486</c:v>
                </c:pt>
                <c:pt idx="2">
                  <c:v>-32.683658170914541</c:v>
                </c:pt>
                <c:pt idx="3">
                  <c:v>-6.5252854812398038</c:v>
                </c:pt>
                <c:pt idx="4">
                  <c:v>36.428571428571423</c:v>
                </c:pt>
                <c:pt idx="5">
                  <c:v>51.279069767441868</c:v>
                </c:pt>
                <c:pt idx="6">
                  <c:v>-2.2300469483568075</c:v>
                </c:pt>
                <c:pt idx="7">
                  <c:v>-19.220208676551344</c:v>
                </c:pt>
                <c:pt idx="8">
                  <c:v>30.906389301634473</c:v>
                </c:pt>
                <c:pt idx="9">
                  <c:v>41.988416988416986</c:v>
                </c:pt>
                <c:pt idx="10">
                  <c:v>119.54137587238284</c:v>
                </c:pt>
                <c:pt idx="11">
                  <c:v>22.275385433280171</c:v>
                </c:pt>
                <c:pt idx="12">
                  <c:v>13.761467889908257</c:v>
                </c:pt>
                <c:pt idx="13">
                  <c:v>90.757575757575765</c:v>
                </c:pt>
              </c:numCache>
            </c:numRef>
          </c:val>
        </c:ser>
        <c:ser>
          <c:idx val="1"/>
          <c:order val="1"/>
          <c:tx>
            <c:v>RH</c:v>
          </c:tx>
          <c:invertIfNegative val="0"/>
          <c:cat>
            <c:strRef>
              <c:f>'2001-2008'!$V$3:$V$16</c:f>
              <c:strCache>
                <c:ptCount val="14"/>
                <c:pt idx="0">
                  <c:v>A</c:v>
                </c:pt>
                <c:pt idx="1">
                  <c:v>B</c:v>
                </c:pt>
                <c:pt idx="2">
                  <c:v>D</c:v>
                </c:pt>
                <c:pt idx="3">
                  <c:v>E</c:v>
                </c:pt>
                <c:pt idx="4">
                  <c:v>F</c:v>
                </c:pt>
                <c:pt idx="5">
                  <c:v>G</c:v>
                </c:pt>
                <c:pt idx="6">
                  <c:v>H</c:v>
                </c:pt>
                <c:pt idx="7">
                  <c:v>I</c:v>
                </c:pt>
                <c:pt idx="8">
                  <c:v>J</c:v>
                </c:pt>
                <c:pt idx="9">
                  <c:v>K</c:v>
                </c:pt>
                <c:pt idx="10">
                  <c:v>L</c:v>
                </c:pt>
                <c:pt idx="11">
                  <c:v>M</c:v>
                </c:pt>
                <c:pt idx="12">
                  <c:v>N</c:v>
                </c:pt>
                <c:pt idx="13">
                  <c:v>O</c:v>
                </c:pt>
              </c:strCache>
            </c:strRef>
          </c:cat>
          <c:val>
            <c:numRef>
              <c:f>'2001-2008'!$X$3:$X$16</c:f>
              <c:numCache>
                <c:formatCode>0.00</c:formatCode>
                <c:ptCount val="14"/>
                <c:pt idx="0">
                  <c:v>-16.092682113685612</c:v>
                </c:pt>
                <c:pt idx="1">
                  <c:v>12.520458265139117</c:v>
                </c:pt>
                <c:pt idx="2">
                  <c:v>-0.91353337270179968</c:v>
                </c:pt>
                <c:pt idx="3">
                  <c:v>-3.4074020371914306</c:v>
                </c:pt>
                <c:pt idx="4">
                  <c:v>47.121732038715436</c:v>
                </c:pt>
                <c:pt idx="5">
                  <c:v>25.761612564779195</c:v>
                </c:pt>
                <c:pt idx="6">
                  <c:v>6.6844319775596075</c:v>
                </c:pt>
                <c:pt idx="7">
                  <c:v>-6.3872060849108347</c:v>
                </c:pt>
                <c:pt idx="8">
                  <c:v>23.273719099571881</c:v>
                </c:pt>
                <c:pt idx="9">
                  <c:v>53.126736809827712</c:v>
                </c:pt>
                <c:pt idx="10">
                  <c:v>-13.413469777462236</c:v>
                </c:pt>
                <c:pt idx="11">
                  <c:v>19.290465631929045</c:v>
                </c:pt>
                <c:pt idx="12">
                  <c:v>10.911115751374679</c:v>
                </c:pt>
                <c:pt idx="13">
                  <c:v>42.450920541078943</c:v>
                </c:pt>
              </c:numCache>
            </c:numRef>
          </c:val>
        </c:ser>
        <c:ser>
          <c:idx val="2"/>
          <c:order val="2"/>
          <c:tx>
            <c:v>ISTRA</c:v>
          </c:tx>
          <c:invertIfNegative val="0"/>
          <c:cat>
            <c:strRef>
              <c:f>'2001-2008'!$V$3:$V$16</c:f>
              <c:strCache>
                <c:ptCount val="14"/>
                <c:pt idx="0">
                  <c:v>A</c:v>
                </c:pt>
                <c:pt idx="1">
                  <c:v>B</c:v>
                </c:pt>
                <c:pt idx="2">
                  <c:v>D</c:v>
                </c:pt>
                <c:pt idx="3">
                  <c:v>E</c:v>
                </c:pt>
                <c:pt idx="4">
                  <c:v>F</c:v>
                </c:pt>
                <c:pt idx="5">
                  <c:v>G</c:v>
                </c:pt>
                <c:pt idx="6">
                  <c:v>H</c:v>
                </c:pt>
                <c:pt idx="7">
                  <c:v>I</c:v>
                </c:pt>
                <c:pt idx="8">
                  <c:v>J</c:v>
                </c:pt>
                <c:pt idx="9">
                  <c:v>K</c:v>
                </c:pt>
                <c:pt idx="10">
                  <c:v>L</c:v>
                </c:pt>
                <c:pt idx="11">
                  <c:v>M</c:v>
                </c:pt>
                <c:pt idx="12">
                  <c:v>N</c:v>
                </c:pt>
                <c:pt idx="13">
                  <c:v>O</c:v>
                </c:pt>
              </c:strCache>
            </c:strRef>
          </c:cat>
          <c:val>
            <c:numRef>
              <c:f>'2001-2008'!$Y$3:$Y$16</c:f>
              <c:numCache>
                <c:formatCode>0.00</c:formatCode>
                <c:ptCount val="14"/>
                <c:pt idx="0">
                  <c:v>35.704323570432358</c:v>
                </c:pt>
                <c:pt idx="1">
                  <c:v>23.333333333333332</c:v>
                </c:pt>
                <c:pt idx="2">
                  <c:v>-0.29734513274336283</c:v>
                </c:pt>
                <c:pt idx="3">
                  <c:v>-8.1545064377682408</c:v>
                </c:pt>
                <c:pt idx="4">
                  <c:v>51.984257133486388</c:v>
                </c:pt>
                <c:pt idx="5">
                  <c:v>33.938564855117519</c:v>
                </c:pt>
                <c:pt idx="6">
                  <c:v>9.1187050359712227</c:v>
                </c:pt>
                <c:pt idx="7">
                  <c:v>4.7961630695443649</c:v>
                </c:pt>
                <c:pt idx="8">
                  <c:v>4.1760722347629802</c:v>
                </c:pt>
                <c:pt idx="9">
                  <c:v>53.454894433781185</c:v>
                </c:pt>
                <c:pt idx="10">
                  <c:v>70.370370370370367</c:v>
                </c:pt>
                <c:pt idx="11">
                  <c:v>16.329849012775842</c:v>
                </c:pt>
                <c:pt idx="12">
                  <c:v>3.5797149486244613</c:v>
                </c:pt>
                <c:pt idx="13">
                  <c:v>55.000000000000007</c:v>
                </c:pt>
              </c:numCache>
            </c:numRef>
          </c:val>
        </c:ser>
        <c:dLbls>
          <c:showLegendKey val="0"/>
          <c:showVal val="0"/>
          <c:showCatName val="0"/>
          <c:showSerName val="0"/>
          <c:showPercent val="0"/>
          <c:showBubbleSize val="0"/>
        </c:dLbls>
        <c:gapWidth val="150"/>
        <c:axId val="340137472"/>
        <c:axId val="340139008"/>
      </c:barChart>
      <c:catAx>
        <c:axId val="340137472"/>
        <c:scaling>
          <c:orientation val="minMax"/>
        </c:scaling>
        <c:delete val="0"/>
        <c:axPos val="b"/>
        <c:majorTickMark val="none"/>
        <c:minorTickMark val="none"/>
        <c:tickLblPos val="nextTo"/>
        <c:txPr>
          <a:bodyPr/>
          <a:lstStyle/>
          <a:p>
            <a:pPr>
              <a:defRPr sz="900"/>
            </a:pPr>
            <a:endParaRPr lang="sr-Latn-RS"/>
          </a:p>
        </c:txPr>
        <c:crossAx val="340139008"/>
        <c:crosses val="autoZero"/>
        <c:auto val="1"/>
        <c:lblAlgn val="ctr"/>
        <c:lblOffset val="100"/>
        <c:noMultiLvlLbl val="0"/>
      </c:catAx>
      <c:valAx>
        <c:axId val="340139008"/>
        <c:scaling>
          <c:orientation val="minMax"/>
        </c:scaling>
        <c:delete val="0"/>
        <c:axPos val="l"/>
        <c:majorGridlines/>
        <c:numFmt formatCode="0.00" sourceLinked="1"/>
        <c:majorTickMark val="none"/>
        <c:minorTickMark val="none"/>
        <c:tickLblPos val="nextTo"/>
        <c:txPr>
          <a:bodyPr/>
          <a:lstStyle/>
          <a:p>
            <a:pPr>
              <a:defRPr sz="900"/>
            </a:pPr>
            <a:endParaRPr lang="sr-Latn-RS"/>
          </a:p>
        </c:txPr>
        <c:crossAx val="340137472"/>
        <c:crosses val="autoZero"/>
        <c:crossBetween val="between"/>
      </c:valAx>
    </c:plotArea>
    <c:legend>
      <c:legendPos val="r"/>
      <c:overlay val="0"/>
      <c:txPr>
        <a:bodyPr/>
        <a:lstStyle/>
        <a:p>
          <a:pPr>
            <a:defRPr sz="900"/>
          </a:pPr>
          <a:endParaRPr lang="sr-Latn-RS"/>
        </a:p>
      </c:txPr>
    </c:legend>
    <c:plotVisOnly val="1"/>
    <c:dispBlanksAs val="gap"/>
    <c:showDLblsOverMax val="0"/>
  </c:chart>
  <c:txPr>
    <a:bodyPr/>
    <a:lstStyle/>
    <a:p>
      <a:pPr>
        <a:defRPr>
          <a:latin typeface="Times New Roman" pitchFamily="18" charset="0"/>
          <a:cs typeface="Times New Roman" pitchFamily="18" charset="0"/>
        </a:defRPr>
      </a:pPr>
      <a:endParaRPr lang="sr-Latn-R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barChart>
        <c:barDir val="col"/>
        <c:grouping val="clustered"/>
        <c:varyColors val="0"/>
        <c:ser>
          <c:idx val="0"/>
          <c:order val="0"/>
          <c:tx>
            <c:v>Zadar</c:v>
          </c:tx>
          <c:invertIfNegative val="0"/>
          <c:dLbls>
            <c:txPr>
              <a:bodyPr/>
              <a:lstStyle/>
              <a:p>
                <a:pPr>
                  <a:defRPr sz="900"/>
                </a:pPr>
                <a:endParaRPr lang="sr-Latn-RS"/>
              </a:p>
            </c:txPr>
            <c:showLegendKey val="0"/>
            <c:showVal val="1"/>
            <c:showCatName val="0"/>
            <c:showSerName val="0"/>
            <c:showPercent val="0"/>
            <c:showBubbleSize val="0"/>
            <c:showLeaderLines val="0"/>
          </c:dLbls>
          <c:cat>
            <c:strRef>
              <c:f>'2009-2011'!$B$4:$B$22</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'2009-2011'!$F$4:$F$22</c:f>
              <c:numCache>
                <c:formatCode>0.00</c:formatCode>
                <c:ptCount val="19"/>
                <c:pt idx="0">
                  <c:v>8.5501858736059475</c:v>
                </c:pt>
                <c:pt idx="1">
                  <c:v>-28.571428571428569</c:v>
                </c:pt>
                <c:pt idx="2">
                  <c:v>-21.149203283437952</c:v>
                </c:pt>
                <c:pt idx="3">
                  <c:v>-3.6912751677852351</c:v>
                </c:pt>
                <c:pt idx="4">
                  <c:v>4.3872919818456886</c:v>
                </c:pt>
                <c:pt idx="5">
                  <c:v>-32.208237986270021</c:v>
                </c:pt>
                <c:pt idx="6">
                  <c:v>-9.2494152668509457</c:v>
                </c:pt>
                <c:pt idx="7">
                  <c:v>-2.4774774774774775</c:v>
                </c:pt>
                <c:pt idx="8">
                  <c:v>-20.248868778280542</c:v>
                </c:pt>
                <c:pt idx="9">
                  <c:v>-8.2191780821917799</c:v>
                </c:pt>
                <c:pt idx="10">
                  <c:v>-4.2904290429042904</c:v>
                </c:pt>
                <c:pt idx="11">
                  <c:v>-32</c:v>
                </c:pt>
                <c:pt idx="12">
                  <c:v>6.8017366136034738</c:v>
                </c:pt>
                <c:pt idx="13">
                  <c:v>-4.9751243781094532</c:v>
                </c:pt>
                <c:pt idx="14">
                  <c:v>-2.9117379435850776</c:v>
                </c:pt>
                <c:pt idx="15">
                  <c:v>5.7084188911704308</c:v>
                </c:pt>
                <c:pt idx="16">
                  <c:v>3.3277870216306153</c:v>
                </c:pt>
                <c:pt idx="17">
                  <c:v>-4.1284403669724776</c:v>
                </c:pt>
                <c:pt idx="18">
                  <c:v>-6.1349693251533743</c:v>
                </c:pt>
              </c:numCache>
            </c:numRef>
          </c:val>
        </c:ser>
        <c:ser>
          <c:idx val="1"/>
          <c:order val="1"/>
          <c:tx>
            <c:v>RH</c:v>
          </c:tx>
          <c:invertIfNegative val="0"/>
          <c:cat>
            <c:strRef>
              <c:f>'2009-2011'!$B$4:$B$22</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'2009-2011'!$J$4:$J$22</c:f>
              <c:numCache>
                <c:formatCode>0.00</c:formatCode>
                <c:ptCount val="19"/>
                <c:pt idx="0">
                  <c:v>-7.4376160865702978</c:v>
                </c:pt>
                <c:pt idx="1">
                  <c:v>-28.468090071170227</c:v>
                </c:pt>
                <c:pt idx="2">
                  <c:v>-11.394102450957291</c:v>
                </c:pt>
                <c:pt idx="3">
                  <c:v>-1.4178482068390326</c:v>
                </c:pt>
                <c:pt idx="4">
                  <c:v>1.1041902604756511</c:v>
                </c:pt>
                <c:pt idx="5">
                  <c:v>-25.294129278468745</c:v>
                </c:pt>
                <c:pt idx="6">
                  <c:v>-12.458508173107033</c:v>
                </c:pt>
                <c:pt idx="7">
                  <c:v>-7.2265898653382106</c:v>
                </c:pt>
                <c:pt idx="8">
                  <c:v>-10.627867348276315</c:v>
                </c:pt>
                <c:pt idx="9">
                  <c:v>-2.536172446602579</c:v>
                </c:pt>
                <c:pt idx="10">
                  <c:v>-4.5380745787974766</c:v>
                </c:pt>
                <c:pt idx="11">
                  <c:v>-12.180363068514541</c:v>
                </c:pt>
                <c:pt idx="12">
                  <c:v>-10.193193422670529</c:v>
                </c:pt>
                <c:pt idx="13">
                  <c:v>0.43931905546403077</c:v>
                </c:pt>
                <c:pt idx="14">
                  <c:v>-0.70735536095927976</c:v>
                </c:pt>
                <c:pt idx="15">
                  <c:v>3.4137071832310482</c:v>
                </c:pt>
                <c:pt idx="16">
                  <c:v>2.2646664410773143</c:v>
                </c:pt>
                <c:pt idx="17">
                  <c:v>-5.0012667848999239</c:v>
                </c:pt>
                <c:pt idx="18">
                  <c:v>-7.8818565400843879</c:v>
                </c:pt>
              </c:numCache>
            </c:numRef>
          </c:val>
        </c:ser>
        <c:dLbls>
          <c:showLegendKey val="0"/>
          <c:showVal val="0"/>
          <c:showCatName val="0"/>
          <c:showSerName val="0"/>
          <c:showPercent val="0"/>
          <c:showBubbleSize val="0"/>
        </c:dLbls>
        <c:gapWidth val="150"/>
        <c:axId val="340509056"/>
        <c:axId val="340510592"/>
      </c:barChart>
      <c:catAx>
        <c:axId val="340509056"/>
        <c:scaling>
          <c:orientation val="minMax"/>
        </c:scaling>
        <c:delete val="0"/>
        <c:axPos val="b"/>
        <c:majorTickMark val="out"/>
        <c:minorTickMark val="none"/>
        <c:tickLblPos val="nextTo"/>
        <c:crossAx val="340510592"/>
        <c:crosses val="autoZero"/>
        <c:auto val="1"/>
        <c:lblAlgn val="ctr"/>
        <c:lblOffset val="100"/>
        <c:noMultiLvlLbl val="0"/>
      </c:catAx>
      <c:valAx>
        <c:axId val="340510592"/>
        <c:scaling>
          <c:orientation val="minMax"/>
        </c:scaling>
        <c:delete val="0"/>
        <c:axPos val="l"/>
        <c:majorGridlines/>
        <c:numFmt formatCode="0.00" sourceLinked="1"/>
        <c:majorTickMark val="out"/>
        <c:minorTickMark val="none"/>
        <c:tickLblPos val="nextTo"/>
        <c:crossAx val="340509056"/>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6.815470982793817E-2"/>
          <c:y val="0.22138513935758031"/>
          <c:w val="0.58611074657334505"/>
          <c:h val="0.72776559180102485"/>
        </c:manualLayout>
      </c:layout>
      <c:pie3DChart>
        <c:varyColors val="1"/>
        <c:ser>
          <c:idx val="0"/>
          <c:order val="0"/>
          <c:tx>
            <c:strRef>
              <c:f>List1!$B$1</c:f>
              <c:strCache>
                <c:ptCount val="1"/>
                <c:pt idx="0">
                  <c:v>Struktura zaposlenih</c:v>
                </c:pt>
              </c:strCache>
            </c:strRef>
          </c:tx>
          <c:explosion val="25"/>
          <c:dLbls>
            <c:showLegendKey val="0"/>
            <c:showVal val="0"/>
            <c:showCatName val="0"/>
            <c:showSerName val="0"/>
            <c:showPercent val="1"/>
            <c:showBubbleSize val="0"/>
            <c:showLeaderLines val="1"/>
          </c:dLbls>
          <c:cat>
            <c:strRef>
              <c:f>List1!$A$2:$A$8</c:f>
              <c:strCache>
                <c:ptCount val="7"/>
                <c:pt idx="0">
                  <c:v>Radnici kod pravnih osoba</c:v>
                </c:pt>
                <c:pt idx="1">
                  <c:v>Radnici kod fizičkih osoba</c:v>
                </c:pt>
                <c:pt idx="2">
                  <c:v>Obrtnici</c:v>
                </c:pt>
                <c:pt idx="3">
                  <c:v>Poljoprivrednici</c:v>
                </c:pt>
                <c:pt idx="4">
                  <c:v>Samostalne profesionalne djelatnosti </c:v>
                </c:pt>
                <c:pt idx="5">
                  <c:v>Osiguranici zaposleni kod međ. org..</c:v>
                </c:pt>
                <c:pt idx="6">
                  <c:v>Produženo osiguranje</c:v>
                </c:pt>
              </c:strCache>
            </c:strRef>
          </c:cat>
          <c:val>
            <c:numRef>
              <c:f>List1!$B$2:$B$8</c:f>
              <c:numCache>
                <c:formatCode>General</c:formatCode>
                <c:ptCount val="7"/>
                <c:pt idx="0">
                  <c:v>79.94</c:v>
                </c:pt>
                <c:pt idx="1">
                  <c:v>9.77</c:v>
                </c:pt>
                <c:pt idx="2">
                  <c:v>5.12</c:v>
                </c:pt>
                <c:pt idx="3">
                  <c:v>0.2</c:v>
                </c:pt>
                <c:pt idx="4">
                  <c:v>3.81</c:v>
                </c:pt>
                <c:pt idx="5">
                  <c:v>0.05</c:v>
                </c:pt>
                <c:pt idx="6">
                  <c:v>1.1200000000000001</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67656697772616858"/>
          <c:y val="0.18426691455234764"/>
          <c:w val="0.30380587802018821"/>
          <c:h val="0.75091827063283756"/>
        </c:manualLayout>
      </c:layout>
      <c:overlay val="0"/>
    </c:legend>
    <c:plotVisOnly val="1"/>
    <c:dispBlanksAs val="gap"/>
    <c:showDLblsOverMax val="0"/>
  </c:chart>
  <c:txPr>
    <a:bodyPr/>
    <a:lstStyle/>
    <a:p>
      <a:pPr>
        <a:defRPr sz="900">
          <a:latin typeface="Corbel" pitchFamily="34" charset="0"/>
          <a:cs typeface="Times New Roman" pitchFamily="18" charset="0"/>
        </a:defRPr>
      </a:pPr>
      <a:endParaRPr lang="sr-Latn-R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Izvoz</a:t>
            </a:r>
          </a:p>
        </c:rich>
      </c:tx>
      <c:overlay val="0"/>
    </c:title>
    <c:autoTitleDeleted val="0"/>
    <c:plotArea>
      <c:layout/>
      <c:lineChart>
        <c:grouping val="standard"/>
        <c:varyColors val="0"/>
        <c:ser>
          <c:idx val="0"/>
          <c:order val="0"/>
          <c:tx>
            <c:v>Zadar</c:v>
          </c:tx>
          <c:marker>
            <c:symbol val="none"/>
          </c:marker>
          <c:dLbls>
            <c:txPr>
              <a:bodyPr/>
              <a:lstStyle/>
              <a:p>
                <a:pPr>
                  <a:defRPr sz="800"/>
                </a:pPr>
                <a:endParaRPr lang="sr-Latn-RS"/>
              </a:p>
            </c:txPr>
            <c:showLegendKey val="0"/>
            <c:showVal val="1"/>
            <c:showCatName val="0"/>
            <c:showSerName val="0"/>
            <c:showPercent val="0"/>
            <c:showBubbleSize val="0"/>
            <c:showLeaderLines val="0"/>
          </c:dLbls>
          <c:cat>
            <c:strRef>
              <c:f>'UVOZ-IZVOZ'!$B$18:$B$23</c:f>
              <c:strCache>
                <c:ptCount val="6"/>
                <c:pt idx="0">
                  <c:v>2006.</c:v>
                </c:pt>
                <c:pt idx="1">
                  <c:v>2007.</c:v>
                </c:pt>
                <c:pt idx="2">
                  <c:v>2008.</c:v>
                </c:pt>
                <c:pt idx="3">
                  <c:v>2009.</c:v>
                </c:pt>
                <c:pt idx="4">
                  <c:v>2010.</c:v>
                </c:pt>
                <c:pt idx="5">
                  <c:v>2011.</c:v>
                </c:pt>
              </c:strCache>
            </c:strRef>
          </c:cat>
          <c:val>
            <c:numRef>
              <c:f>'UVOZ-IZVOZ'!$C$18:$C$23</c:f>
              <c:numCache>
                <c:formatCode>0.00</c:formatCode>
                <c:ptCount val="6"/>
                <c:pt idx="0">
                  <c:v>100</c:v>
                </c:pt>
                <c:pt idx="1">
                  <c:v>108.16815397041152</c:v>
                </c:pt>
                <c:pt idx="2">
                  <c:v>102.23982034158739</c:v>
                </c:pt>
                <c:pt idx="3">
                  <c:v>100.56103855170105</c:v>
                </c:pt>
                <c:pt idx="4">
                  <c:v>67.767074443984782</c:v>
                </c:pt>
                <c:pt idx="5">
                  <c:v>88.034198136437965</c:v>
                </c:pt>
              </c:numCache>
            </c:numRef>
          </c:val>
          <c:smooth val="0"/>
        </c:ser>
        <c:ser>
          <c:idx val="1"/>
          <c:order val="1"/>
          <c:tx>
            <c:v>ZŽ</c:v>
          </c:tx>
          <c:marker>
            <c:symbol val="none"/>
          </c:marker>
          <c:cat>
            <c:strRef>
              <c:f>'UVOZ-IZVOZ'!$B$18:$B$23</c:f>
              <c:strCache>
                <c:ptCount val="6"/>
                <c:pt idx="0">
                  <c:v>2006.</c:v>
                </c:pt>
                <c:pt idx="1">
                  <c:v>2007.</c:v>
                </c:pt>
                <c:pt idx="2">
                  <c:v>2008.</c:v>
                </c:pt>
                <c:pt idx="3">
                  <c:v>2009.</c:v>
                </c:pt>
                <c:pt idx="4">
                  <c:v>2010.</c:v>
                </c:pt>
                <c:pt idx="5">
                  <c:v>2011.</c:v>
                </c:pt>
              </c:strCache>
            </c:strRef>
          </c:cat>
          <c:val>
            <c:numRef>
              <c:f>'UVOZ-IZVOZ'!$E$18:$E$23</c:f>
              <c:numCache>
                <c:formatCode>0.00</c:formatCode>
                <c:ptCount val="6"/>
                <c:pt idx="0">
                  <c:v>100</c:v>
                </c:pt>
                <c:pt idx="1">
                  <c:v>105.86654364577291</c:v>
                </c:pt>
                <c:pt idx="2">
                  <c:v>99.754902184686642</c:v>
                </c:pt>
                <c:pt idx="3">
                  <c:v>94.044479361265772</c:v>
                </c:pt>
                <c:pt idx="4">
                  <c:v>96.680719672228491</c:v>
                </c:pt>
                <c:pt idx="5">
                  <c:v>118.9243284475159</c:v>
                </c:pt>
              </c:numCache>
            </c:numRef>
          </c:val>
          <c:smooth val="0"/>
        </c:ser>
        <c:ser>
          <c:idx val="2"/>
          <c:order val="2"/>
          <c:tx>
            <c:v>RH</c:v>
          </c:tx>
          <c:marker>
            <c:symbol val="none"/>
          </c:marker>
          <c:cat>
            <c:strRef>
              <c:f>'UVOZ-IZVOZ'!$B$18:$B$23</c:f>
              <c:strCache>
                <c:ptCount val="6"/>
                <c:pt idx="0">
                  <c:v>2006.</c:v>
                </c:pt>
                <c:pt idx="1">
                  <c:v>2007.</c:v>
                </c:pt>
                <c:pt idx="2">
                  <c:v>2008.</c:v>
                </c:pt>
                <c:pt idx="3">
                  <c:v>2009.</c:v>
                </c:pt>
                <c:pt idx="4">
                  <c:v>2010.</c:v>
                </c:pt>
                <c:pt idx="5">
                  <c:v>2011.</c:v>
                </c:pt>
              </c:strCache>
            </c:strRef>
          </c:cat>
          <c:val>
            <c:numRef>
              <c:f>'UVOZ-IZVOZ'!$G$18:$G$23</c:f>
              <c:numCache>
                <c:formatCode>0.00</c:formatCode>
                <c:ptCount val="6"/>
                <c:pt idx="0">
                  <c:v>100</c:v>
                </c:pt>
                <c:pt idx="1">
                  <c:v>109.27639721615559</c:v>
                </c:pt>
                <c:pt idx="2">
                  <c:v>114.50737675620486</c:v>
                </c:pt>
                <c:pt idx="3">
                  <c:v>91.454241324163718</c:v>
                </c:pt>
                <c:pt idx="4">
                  <c:v>107.37062585405053</c:v>
                </c:pt>
                <c:pt idx="5">
                  <c:v>117.95717914380856</c:v>
                </c:pt>
              </c:numCache>
            </c:numRef>
          </c:val>
          <c:smooth val="0"/>
        </c:ser>
        <c:dLbls>
          <c:showLegendKey val="0"/>
          <c:showVal val="0"/>
          <c:showCatName val="0"/>
          <c:showSerName val="0"/>
          <c:showPercent val="0"/>
          <c:showBubbleSize val="0"/>
        </c:dLbls>
        <c:marker val="1"/>
        <c:smooth val="0"/>
        <c:axId val="341020032"/>
        <c:axId val="341038208"/>
      </c:lineChart>
      <c:catAx>
        <c:axId val="341020032"/>
        <c:scaling>
          <c:orientation val="minMax"/>
        </c:scaling>
        <c:delete val="0"/>
        <c:axPos val="b"/>
        <c:numFmt formatCode="General" sourceLinked="1"/>
        <c:majorTickMark val="none"/>
        <c:minorTickMark val="none"/>
        <c:tickLblPos val="nextTo"/>
        <c:crossAx val="341038208"/>
        <c:crosses val="autoZero"/>
        <c:auto val="1"/>
        <c:lblAlgn val="ctr"/>
        <c:lblOffset val="100"/>
        <c:noMultiLvlLbl val="0"/>
      </c:catAx>
      <c:valAx>
        <c:axId val="341038208"/>
        <c:scaling>
          <c:orientation val="minMax"/>
          <c:min val="60"/>
        </c:scaling>
        <c:delete val="0"/>
        <c:axPos val="l"/>
        <c:majorGridlines/>
        <c:numFmt formatCode="0.00" sourceLinked="1"/>
        <c:majorTickMark val="none"/>
        <c:minorTickMark val="none"/>
        <c:tickLblPos val="nextTo"/>
        <c:crossAx val="341020032"/>
        <c:crosses val="autoZero"/>
        <c:crossBetween val="between"/>
      </c:valAx>
    </c:plotArea>
    <c:legend>
      <c:legendPos val="r"/>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r-HR" sz="1200"/>
              <a:t>Uvoz</a:t>
            </a:r>
          </a:p>
        </c:rich>
      </c:tx>
      <c:overlay val="0"/>
    </c:title>
    <c:autoTitleDeleted val="0"/>
    <c:plotArea>
      <c:layout/>
      <c:lineChart>
        <c:grouping val="standard"/>
        <c:varyColors val="0"/>
        <c:ser>
          <c:idx val="0"/>
          <c:order val="0"/>
          <c:tx>
            <c:v>Zadar</c:v>
          </c:tx>
          <c:marker>
            <c:symbol val="none"/>
          </c:marker>
          <c:dLbls>
            <c:txPr>
              <a:bodyPr/>
              <a:lstStyle/>
              <a:p>
                <a:pPr>
                  <a:defRPr sz="800"/>
                </a:pPr>
                <a:endParaRPr lang="sr-Latn-RS"/>
              </a:p>
            </c:txPr>
            <c:showLegendKey val="0"/>
            <c:showVal val="1"/>
            <c:showCatName val="0"/>
            <c:showSerName val="0"/>
            <c:showPercent val="0"/>
            <c:showBubbleSize val="0"/>
            <c:showLeaderLines val="0"/>
          </c:dLbls>
          <c:cat>
            <c:strRef>
              <c:f>'UVOZ-IZVOZ'!$B$18:$B$23</c:f>
              <c:strCache>
                <c:ptCount val="6"/>
                <c:pt idx="0">
                  <c:v>2006.</c:v>
                </c:pt>
                <c:pt idx="1">
                  <c:v>2007.</c:v>
                </c:pt>
                <c:pt idx="2">
                  <c:v>2008.</c:v>
                </c:pt>
                <c:pt idx="3">
                  <c:v>2009.</c:v>
                </c:pt>
                <c:pt idx="4">
                  <c:v>2010.</c:v>
                </c:pt>
                <c:pt idx="5">
                  <c:v>2011.</c:v>
                </c:pt>
              </c:strCache>
            </c:strRef>
          </c:cat>
          <c:val>
            <c:numRef>
              <c:f>'UVOZ-IZVOZ'!$D$18:$D$23</c:f>
              <c:numCache>
                <c:formatCode>0.00</c:formatCode>
                <c:ptCount val="6"/>
                <c:pt idx="0">
                  <c:v>100</c:v>
                </c:pt>
                <c:pt idx="1">
                  <c:v>98.960099223865726</c:v>
                </c:pt>
                <c:pt idx="2">
                  <c:v>111.37644227557732</c:v>
                </c:pt>
                <c:pt idx="3">
                  <c:v>70.572793957021034</c:v>
                </c:pt>
                <c:pt idx="4">
                  <c:v>61.61466260094349</c:v>
                </c:pt>
                <c:pt idx="5">
                  <c:v>78.517563671355248</c:v>
                </c:pt>
              </c:numCache>
            </c:numRef>
          </c:val>
          <c:smooth val="0"/>
        </c:ser>
        <c:ser>
          <c:idx val="1"/>
          <c:order val="1"/>
          <c:tx>
            <c:v>ZŽ</c:v>
          </c:tx>
          <c:marker>
            <c:symbol val="none"/>
          </c:marker>
          <c:cat>
            <c:strRef>
              <c:f>'UVOZ-IZVOZ'!$B$18:$B$23</c:f>
              <c:strCache>
                <c:ptCount val="6"/>
                <c:pt idx="0">
                  <c:v>2006.</c:v>
                </c:pt>
                <c:pt idx="1">
                  <c:v>2007.</c:v>
                </c:pt>
                <c:pt idx="2">
                  <c:v>2008.</c:v>
                </c:pt>
                <c:pt idx="3">
                  <c:v>2009.</c:v>
                </c:pt>
                <c:pt idx="4">
                  <c:v>2010.</c:v>
                </c:pt>
                <c:pt idx="5">
                  <c:v>2011.</c:v>
                </c:pt>
              </c:strCache>
            </c:strRef>
          </c:cat>
          <c:val>
            <c:numRef>
              <c:f>'UVOZ-IZVOZ'!$F$18:$F$23</c:f>
              <c:numCache>
                <c:formatCode>0.00</c:formatCode>
                <c:ptCount val="6"/>
                <c:pt idx="0">
                  <c:v>100</c:v>
                </c:pt>
                <c:pt idx="1">
                  <c:v>109.37369220765005</c:v>
                </c:pt>
                <c:pt idx="2">
                  <c:v>109.40113572711645</c:v>
                </c:pt>
                <c:pt idx="3">
                  <c:v>77.758274905195108</c:v>
                </c:pt>
                <c:pt idx="4">
                  <c:v>82.134751704556436</c:v>
                </c:pt>
                <c:pt idx="5">
                  <c:v>86.073983221627742</c:v>
                </c:pt>
              </c:numCache>
            </c:numRef>
          </c:val>
          <c:smooth val="0"/>
        </c:ser>
        <c:ser>
          <c:idx val="2"/>
          <c:order val="2"/>
          <c:tx>
            <c:v>RH</c:v>
          </c:tx>
          <c:marker>
            <c:symbol val="none"/>
          </c:marker>
          <c:cat>
            <c:strRef>
              <c:f>'UVOZ-IZVOZ'!$B$18:$B$23</c:f>
              <c:strCache>
                <c:ptCount val="6"/>
                <c:pt idx="0">
                  <c:v>2006.</c:v>
                </c:pt>
                <c:pt idx="1">
                  <c:v>2007.</c:v>
                </c:pt>
                <c:pt idx="2">
                  <c:v>2008.</c:v>
                </c:pt>
                <c:pt idx="3">
                  <c:v>2009.</c:v>
                </c:pt>
                <c:pt idx="4">
                  <c:v>2010.</c:v>
                </c:pt>
                <c:pt idx="5">
                  <c:v>2011.</c:v>
                </c:pt>
              </c:strCache>
            </c:strRef>
          </c:cat>
          <c:val>
            <c:numRef>
              <c:f>'UVOZ-IZVOZ'!$H$18:$H$23</c:f>
              <c:numCache>
                <c:formatCode>0.00</c:formatCode>
                <c:ptCount val="6"/>
                <c:pt idx="0">
                  <c:v>100</c:v>
                </c:pt>
                <c:pt idx="1">
                  <c:v>110.30801379095325</c:v>
                </c:pt>
                <c:pt idx="2">
                  <c:v>120.04431340745647</c:v>
                </c:pt>
                <c:pt idx="3">
                  <c:v>89.223306176048439</c:v>
                </c:pt>
                <c:pt idx="4">
                  <c:v>88.062210588486792</c:v>
                </c:pt>
                <c:pt idx="5">
                  <c:v>96.605437458370346</c:v>
                </c:pt>
              </c:numCache>
            </c:numRef>
          </c:val>
          <c:smooth val="0"/>
        </c:ser>
        <c:dLbls>
          <c:showLegendKey val="0"/>
          <c:showVal val="0"/>
          <c:showCatName val="0"/>
          <c:showSerName val="0"/>
          <c:showPercent val="0"/>
          <c:showBubbleSize val="0"/>
        </c:dLbls>
        <c:marker val="1"/>
        <c:smooth val="0"/>
        <c:axId val="340134912"/>
        <c:axId val="341013248"/>
      </c:lineChart>
      <c:catAx>
        <c:axId val="340134912"/>
        <c:scaling>
          <c:orientation val="minMax"/>
        </c:scaling>
        <c:delete val="0"/>
        <c:axPos val="b"/>
        <c:majorTickMark val="none"/>
        <c:minorTickMark val="none"/>
        <c:tickLblPos val="nextTo"/>
        <c:crossAx val="341013248"/>
        <c:crosses val="autoZero"/>
        <c:auto val="1"/>
        <c:lblAlgn val="ctr"/>
        <c:lblOffset val="100"/>
        <c:noMultiLvlLbl val="0"/>
      </c:catAx>
      <c:valAx>
        <c:axId val="341013248"/>
        <c:scaling>
          <c:orientation val="minMax"/>
          <c:min val="60"/>
        </c:scaling>
        <c:delete val="0"/>
        <c:axPos val="l"/>
        <c:majorGridlines/>
        <c:numFmt formatCode="0.00" sourceLinked="1"/>
        <c:majorTickMark val="none"/>
        <c:minorTickMark val="none"/>
        <c:tickLblPos val="nextTo"/>
        <c:crossAx val="340134912"/>
        <c:crosses val="autoZero"/>
        <c:crossBetween val="between"/>
      </c:valAx>
    </c:plotArea>
    <c:legend>
      <c:legendPos val="r"/>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100"/>
            </a:pPr>
            <a:r>
              <a:rPr lang="hr-HR" sz="1100"/>
              <a:t>Pokrivenost uvoza izvozom </a:t>
            </a:r>
            <a:r>
              <a:rPr lang="hr-HR" sz="1100" baseline="0"/>
              <a:t> u Zadru, 2006.-2011.</a:t>
            </a:r>
            <a:endParaRPr lang="hr-HR" sz="1100"/>
          </a:p>
        </c:rich>
      </c:tx>
      <c:overlay val="0"/>
    </c:title>
    <c:autoTitleDeleted val="0"/>
    <c:plotArea>
      <c:layout/>
      <c:barChart>
        <c:barDir val="col"/>
        <c:grouping val="stacked"/>
        <c:varyColors val="0"/>
        <c:ser>
          <c:idx val="0"/>
          <c:order val="0"/>
          <c:tx>
            <c:v>Izvoz</c:v>
          </c:tx>
          <c:invertIfNegative val="0"/>
          <c:cat>
            <c:strRef>
              <c:f>'UVOZ-IZVOZ'!$B$9:$B$14</c:f>
              <c:strCache>
                <c:ptCount val="6"/>
                <c:pt idx="0">
                  <c:v>2006.</c:v>
                </c:pt>
                <c:pt idx="1">
                  <c:v>2007.</c:v>
                </c:pt>
                <c:pt idx="2">
                  <c:v>2008.</c:v>
                </c:pt>
                <c:pt idx="3">
                  <c:v>2009.</c:v>
                </c:pt>
                <c:pt idx="4">
                  <c:v>2010.</c:v>
                </c:pt>
                <c:pt idx="5">
                  <c:v>2011.</c:v>
                </c:pt>
              </c:strCache>
            </c:strRef>
          </c:cat>
          <c:val>
            <c:numRef>
              <c:f>'UVOZ-IZVOZ'!$C$9:$C$14</c:f>
              <c:numCache>
                <c:formatCode>#,##0</c:formatCode>
                <c:ptCount val="6"/>
                <c:pt idx="0">
                  <c:v>253815</c:v>
                </c:pt>
                <c:pt idx="1">
                  <c:v>274547</c:v>
                </c:pt>
                <c:pt idx="2">
                  <c:v>259500</c:v>
                </c:pt>
                <c:pt idx="3">
                  <c:v>255239</c:v>
                </c:pt>
                <c:pt idx="4">
                  <c:v>172003</c:v>
                </c:pt>
                <c:pt idx="5">
                  <c:v>223444</c:v>
                </c:pt>
              </c:numCache>
            </c:numRef>
          </c:val>
        </c:ser>
        <c:ser>
          <c:idx val="1"/>
          <c:order val="1"/>
          <c:tx>
            <c:v>Uvoz</c:v>
          </c:tx>
          <c:invertIfNegative val="0"/>
          <c:cat>
            <c:strRef>
              <c:f>'UVOZ-IZVOZ'!$B$9:$B$14</c:f>
              <c:strCache>
                <c:ptCount val="6"/>
                <c:pt idx="0">
                  <c:v>2006.</c:v>
                </c:pt>
                <c:pt idx="1">
                  <c:v>2007.</c:v>
                </c:pt>
                <c:pt idx="2">
                  <c:v>2008.</c:v>
                </c:pt>
                <c:pt idx="3">
                  <c:v>2009.</c:v>
                </c:pt>
                <c:pt idx="4">
                  <c:v>2010.</c:v>
                </c:pt>
                <c:pt idx="5">
                  <c:v>2011.</c:v>
                </c:pt>
              </c:strCache>
            </c:strRef>
          </c:cat>
          <c:val>
            <c:numRef>
              <c:f>'UVOZ-IZVOZ'!$D$9:$D$14</c:f>
              <c:numCache>
                <c:formatCode>#,##0</c:formatCode>
                <c:ptCount val="6"/>
                <c:pt idx="0">
                  <c:v>553899</c:v>
                </c:pt>
                <c:pt idx="1">
                  <c:v>548139</c:v>
                </c:pt>
                <c:pt idx="2">
                  <c:v>616913</c:v>
                </c:pt>
                <c:pt idx="3">
                  <c:v>390902</c:v>
                </c:pt>
                <c:pt idx="4">
                  <c:v>341283</c:v>
                </c:pt>
                <c:pt idx="5">
                  <c:v>434908</c:v>
                </c:pt>
              </c:numCache>
            </c:numRef>
          </c:val>
        </c:ser>
        <c:dLbls>
          <c:showLegendKey val="0"/>
          <c:showVal val="0"/>
          <c:showCatName val="0"/>
          <c:showSerName val="0"/>
          <c:showPercent val="0"/>
          <c:showBubbleSize val="0"/>
        </c:dLbls>
        <c:gapWidth val="95"/>
        <c:overlap val="100"/>
        <c:axId val="342423040"/>
        <c:axId val="342424576"/>
      </c:barChart>
      <c:catAx>
        <c:axId val="342423040"/>
        <c:scaling>
          <c:orientation val="minMax"/>
        </c:scaling>
        <c:delete val="0"/>
        <c:axPos val="b"/>
        <c:majorTickMark val="none"/>
        <c:minorTickMark val="none"/>
        <c:tickLblPos val="nextTo"/>
        <c:crossAx val="342424576"/>
        <c:crosses val="autoZero"/>
        <c:auto val="1"/>
        <c:lblAlgn val="ctr"/>
        <c:lblOffset val="100"/>
        <c:noMultiLvlLbl val="0"/>
      </c:catAx>
      <c:valAx>
        <c:axId val="342424576"/>
        <c:scaling>
          <c:orientation val="minMax"/>
        </c:scaling>
        <c:delete val="0"/>
        <c:axPos val="l"/>
        <c:majorGridlines/>
        <c:numFmt formatCode="#,##0" sourceLinked="1"/>
        <c:majorTickMark val="none"/>
        <c:minorTickMark val="none"/>
        <c:tickLblPos val="nextTo"/>
        <c:crossAx val="34242304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100"/>
            </a:pPr>
            <a:r>
              <a:rPr lang="hr-HR" sz="1100"/>
              <a:t>Pokrivenost uvoza izvozom u RH, 2006.-2011.</a:t>
            </a:r>
          </a:p>
        </c:rich>
      </c:tx>
      <c:overlay val="0"/>
    </c:title>
    <c:autoTitleDeleted val="0"/>
    <c:plotArea>
      <c:layout/>
      <c:barChart>
        <c:barDir val="col"/>
        <c:grouping val="stacked"/>
        <c:varyColors val="0"/>
        <c:ser>
          <c:idx val="0"/>
          <c:order val="0"/>
          <c:tx>
            <c:v>Izvoz</c:v>
          </c:tx>
          <c:invertIfNegative val="0"/>
          <c:cat>
            <c:strRef>
              <c:f>'UVOZ-IZVOZ'!$B$9:$B$14</c:f>
              <c:strCache>
                <c:ptCount val="6"/>
                <c:pt idx="0">
                  <c:v>2006.</c:v>
                </c:pt>
                <c:pt idx="1">
                  <c:v>2007.</c:v>
                </c:pt>
                <c:pt idx="2">
                  <c:v>2008.</c:v>
                </c:pt>
                <c:pt idx="3">
                  <c:v>2009.</c:v>
                </c:pt>
                <c:pt idx="4">
                  <c:v>2010.</c:v>
                </c:pt>
                <c:pt idx="5">
                  <c:v>2011.</c:v>
                </c:pt>
              </c:strCache>
            </c:strRef>
          </c:cat>
          <c:val>
            <c:numRef>
              <c:f>'UVOZ-IZVOZ'!$G$9:$G$14</c:f>
              <c:numCache>
                <c:formatCode>#,##0</c:formatCode>
                <c:ptCount val="6"/>
                <c:pt idx="0">
                  <c:v>60436998</c:v>
                </c:pt>
                <c:pt idx="1">
                  <c:v>66043374</c:v>
                </c:pt>
                <c:pt idx="2">
                  <c:v>69204821</c:v>
                </c:pt>
                <c:pt idx="3">
                  <c:v>55272198</c:v>
                </c:pt>
                <c:pt idx="4">
                  <c:v>64891583</c:v>
                </c:pt>
                <c:pt idx="5">
                  <c:v>71289778</c:v>
                </c:pt>
              </c:numCache>
            </c:numRef>
          </c:val>
        </c:ser>
        <c:ser>
          <c:idx val="1"/>
          <c:order val="1"/>
          <c:tx>
            <c:v>Uvoz</c:v>
          </c:tx>
          <c:invertIfNegative val="0"/>
          <c:cat>
            <c:strRef>
              <c:f>'UVOZ-IZVOZ'!$B$9:$B$14</c:f>
              <c:strCache>
                <c:ptCount val="6"/>
                <c:pt idx="0">
                  <c:v>2006.</c:v>
                </c:pt>
                <c:pt idx="1">
                  <c:v>2007.</c:v>
                </c:pt>
                <c:pt idx="2">
                  <c:v>2008.</c:v>
                </c:pt>
                <c:pt idx="3">
                  <c:v>2009.</c:v>
                </c:pt>
                <c:pt idx="4">
                  <c:v>2010.</c:v>
                </c:pt>
                <c:pt idx="5">
                  <c:v>2011.</c:v>
                </c:pt>
              </c:strCache>
            </c:strRef>
          </c:cat>
          <c:val>
            <c:numRef>
              <c:f>'UVOZ-IZVOZ'!$H$9:$H$14</c:f>
              <c:numCache>
                <c:formatCode>#,##0</c:formatCode>
                <c:ptCount val="6"/>
                <c:pt idx="0">
                  <c:v>125248775</c:v>
                </c:pt>
                <c:pt idx="1">
                  <c:v>138159436</c:v>
                </c:pt>
                <c:pt idx="2">
                  <c:v>150354032</c:v>
                </c:pt>
                <c:pt idx="3">
                  <c:v>111751098</c:v>
                </c:pt>
                <c:pt idx="4">
                  <c:v>110296840</c:v>
                </c:pt>
                <c:pt idx="5">
                  <c:v>120997127</c:v>
                </c:pt>
              </c:numCache>
            </c:numRef>
          </c:val>
        </c:ser>
        <c:dLbls>
          <c:showLegendKey val="0"/>
          <c:showVal val="0"/>
          <c:showCatName val="0"/>
          <c:showSerName val="0"/>
          <c:showPercent val="0"/>
          <c:showBubbleSize val="0"/>
        </c:dLbls>
        <c:gapWidth val="95"/>
        <c:overlap val="100"/>
        <c:axId val="343737472"/>
        <c:axId val="343739008"/>
      </c:barChart>
      <c:catAx>
        <c:axId val="343737472"/>
        <c:scaling>
          <c:orientation val="minMax"/>
        </c:scaling>
        <c:delete val="0"/>
        <c:axPos val="b"/>
        <c:majorTickMark val="none"/>
        <c:minorTickMark val="none"/>
        <c:tickLblPos val="nextTo"/>
        <c:crossAx val="343739008"/>
        <c:crosses val="autoZero"/>
        <c:auto val="1"/>
        <c:lblAlgn val="ctr"/>
        <c:lblOffset val="100"/>
        <c:noMultiLvlLbl val="0"/>
      </c:catAx>
      <c:valAx>
        <c:axId val="343739008"/>
        <c:scaling>
          <c:orientation val="minMax"/>
        </c:scaling>
        <c:delete val="0"/>
        <c:axPos val="l"/>
        <c:majorGridlines/>
        <c:numFmt formatCode="#,##0" sourceLinked="1"/>
        <c:majorTickMark val="none"/>
        <c:minorTickMark val="none"/>
        <c:tickLblPos val="nextTo"/>
        <c:crossAx val="34373747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overlay val="0"/>
    </c:title>
    <c:autoTitleDeleted val="0"/>
    <c:plotArea>
      <c:layout/>
      <c:barChart>
        <c:barDir val="col"/>
        <c:grouping val="clustered"/>
        <c:varyColors val="0"/>
        <c:ser>
          <c:idx val="0"/>
          <c:order val="0"/>
          <c:tx>
            <c:v>Izvoz</c:v>
          </c:tx>
          <c:invertIfNegative val="0"/>
          <c:dLbls>
            <c:dLbl>
              <c:idx val="6"/>
              <c:layout>
                <c:manualLayout>
                  <c:x val="0"/>
                  <c:y val="-2.1560366139156295E-2"/>
                </c:manualLayout>
              </c:layout>
              <c:showLegendKey val="0"/>
              <c:showVal val="1"/>
              <c:showCatName val="0"/>
              <c:showSerName val="0"/>
              <c:showPercent val="0"/>
              <c:showBubbleSize val="0"/>
            </c:dLbl>
            <c:txPr>
              <a:bodyPr/>
              <a:lstStyle/>
              <a:p>
                <a:pPr>
                  <a:defRPr sz="800"/>
                </a:pPr>
                <a:endParaRPr lang="sr-Latn-RS"/>
              </a:p>
            </c:txPr>
            <c:showLegendKey val="0"/>
            <c:showVal val="1"/>
            <c:showCatName val="0"/>
            <c:showSerName val="0"/>
            <c:showPercent val="0"/>
            <c:showBubbleSize val="0"/>
            <c:showLeaderLines val="0"/>
          </c:dLbls>
          <c:cat>
            <c:strRef>
              <c:f>'UVOZ-IZVOZ'!$B$44:$B$55</c:f>
              <c:strCache>
                <c:ptCount val="12"/>
                <c:pt idx="0">
                  <c:v>Istra</c:v>
                </c:pt>
                <c:pt idx="1">
                  <c:v>Pula</c:v>
                </c:pt>
                <c:pt idx="2">
                  <c:v>SDŽ</c:v>
                </c:pt>
                <c:pt idx="3">
                  <c:v>Split</c:v>
                </c:pt>
                <c:pt idx="4">
                  <c:v>PGŽ</c:v>
                </c:pt>
                <c:pt idx="5">
                  <c:v>Rijeka</c:v>
                </c:pt>
                <c:pt idx="6">
                  <c:v>Škž</c:v>
                </c:pt>
                <c:pt idx="7">
                  <c:v>Šibenik</c:v>
                </c:pt>
                <c:pt idx="8">
                  <c:v>ZŽ</c:v>
                </c:pt>
                <c:pt idx="9">
                  <c:v>Zadar</c:v>
                </c:pt>
                <c:pt idx="10">
                  <c:v>DNŽ</c:v>
                </c:pt>
                <c:pt idx="11">
                  <c:v>Dubrovnk</c:v>
                </c:pt>
              </c:strCache>
            </c:strRef>
          </c:cat>
          <c:val>
            <c:numRef>
              <c:f>'UVOZ-IZVOZ'!$C$44:$C$55</c:f>
              <c:numCache>
                <c:formatCode>General</c:formatCode>
                <c:ptCount val="12"/>
                <c:pt idx="0">
                  <c:v>6766374</c:v>
                </c:pt>
                <c:pt idx="1">
                  <c:v>3063212</c:v>
                </c:pt>
                <c:pt idx="2">
                  <c:v>4743912</c:v>
                </c:pt>
                <c:pt idx="3">
                  <c:v>2428804</c:v>
                </c:pt>
                <c:pt idx="4">
                  <c:v>3249221</c:v>
                </c:pt>
                <c:pt idx="5">
                  <c:v>1129837</c:v>
                </c:pt>
                <c:pt idx="6">
                  <c:v>1431947</c:v>
                </c:pt>
                <c:pt idx="7">
                  <c:v>1330866</c:v>
                </c:pt>
                <c:pt idx="8">
                  <c:v>1058330</c:v>
                </c:pt>
                <c:pt idx="9">
                  <c:v>172003</c:v>
                </c:pt>
                <c:pt idx="10">
                  <c:v>226625</c:v>
                </c:pt>
                <c:pt idx="11">
                  <c:v>20191</c:v>
                </c:pt>
              </c:numCache>
            </c:numRef>
          </c:val>
        </c:ser>
        <c:dLbls>
          <c:showLegendKey val="0"/>
          <c:showVal val="0"/>
          <c:showCatName val="0"/>
          <c:showSerName val="0"/>
          <c:showPercent val="0"/>
          <c:showBubbleSize val="0"/>
        </c:dLbls>
        <c:gapWidth val="150"/>
        <c:axId val="349356416"/>
        <c:axId val="349357952"/>
      </c:barChart>
      <c:catAx>
        <c:axId val="349356416"/>
        <c:scaling>
          <c:orientation val="minMax"/>
        </c:scaling>
        <c:delete val="0"/>
        <c:axPos val="b"/>
        <c:majorTickMark val="out"/>
        <c:minorTickMark val="none"/>
        <c:tickLblPos val="nextTo"/>
        <c:crossAx val="349357952"/>
        <c:crosses val="autoZero"/>
        <c:auto val="1"/>
        <c:lblAlgn val="ctr"/>
        <c:lblOffset val="100"/>
        <c:noMultiLvlLbl val="0"/>
      </c:catAx>
      <c:valAx>
        <c:axId val="349357952"/>
        <c:scaling>
          <c:orientation val="minMax"/>
        </c:scaling>
        <c:delete val="0"/>
        <c:axPos val="l"/>
        <c:majorGridlines/>
        <c:numFmt formatCode="General" sourceLinked="1"/>
        <c:majorTickMark val="out"/>
        <c:minorTickMark val="none"/>
        <c:tickLblPos val="nextTo"/>
        <c:crossAx val="349356416"/>
        <c:crosses val="autoZero"/>
        <c:crossBetween val="between"/>
      </c:valAx>
    </c:plotArea>
    <c:legend>
      <c:legendPos val="r"/>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doughnutChart>
        <c:varyColors val="1"/>
        <c:ser>
          <c:idx val="0"/>
          <c:order val="0"/>
          <c:dLbls>
            <c:showLegendKey val="0"/>
            <c:showVal val="1"/>
            <c:showCatName val="1"/>
            <c:showSerName val="0"/>
            <c:showPercent val="0"/>
            <c:showBubbleSize val="0"/>
            <c:showLeaderLines val="1"/>
          </c:dLbls>
          <c:cat>
            <c:strRef>
              <c:f>'UVOZ-IZVOZ'!$AM$8:$AM$16</c:f>
              <c:strCache>
                <c:ptCount val="9"/>
                <c:pt idx="0">
                  <c:v>C</c:v>
                </c:pt>
                <c:pt idx="1">
                  <c:v>E</c:v>
                </c:pt>
                <c:pt idx="2">
                  <c:v>G</c:v>
                </c:pt>
                <c:pt idx="3">
                  <c:v>H</c:v>
                </c:pt>
                <c:pt idx="4">
                  <c:v>I</c:v>
                </c:pt>
                <c:pt idx="5">
                  <c:v>L</c:v>
                </c:pt>
                <c:pt idx="6">
                  <c:v>M</c:v>
                </c:pt>
                <c:pt idx="7">
                  <c:v>N</c:v>
                </c:pt>
                <c:pt idx="8">
                  <c:v>R</c:v>
                </c:pt>
              </c:strCache>
            </c:strRef>
          </c:cat>
          <c:val>
            <c:numRef>
              <c:f>'UVOZ-IZVOZ'!$AN$8:$AN$16</c:f>
              <c:numCache>
                <c:formatCode>General</c:formatCode>
                <c:ptCount val="9"/>
                <c:pt idx="0">
                  <c:v>8</c:v>
                </c:pt>
                <c:pt idx="1">
                  <c:v>1</c:v>
                </c:pt>
                <c:pt idx="2">
                  <c:v>2</c:v>
                </c:pt>
                <c:pt idx="3">
                  <c:v>5</c:v>
                </c:pt>
                <c:pt idx="4">
                  <c:v>4</c:v>
                </c:pt>
                <c:pt idx="5">
                  <c:v>1</c:v>
                </c:pt>
                <c:pt idx="6">
                  <c:v>3</c:v>
                </c:pt>
                <c:pt idx="7">
                  <c:v>4</c:v>
                </c:pt>
                <c:pt idx="8">
                  <c:v>2</c:v>
                </c:pt>
              </c:numCache>
            </c:numRef>
          </c:val>
        </c:ser>
        <c:dLbls>
          <c:showLegendKey val="0"/>
          <c:showVal val="1"/>
          <c:showCatName val="1"/>
          <c:showSerName val="0"/>
          <c:showPercent val="0"/>
          <c:showBubbleSize val="0"/>
          <c:showLeaderLines val="1"/>
        </c:dLbls>
        <c:firstSliceAng val="0"/>
        <c:holeSize val="50"/>
      </c:doughnutChart>
    </c:plotArea>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r-HR" sz="1200"/>
              <a:t>Udio iznosa</a:t>
            </a:r>
            <a:r>
              <a:rPr lang="hr-HR" sz="1200" baseline="0"/>
              <a:t> izvoza po sektorima</a:t>
            </a:r>
            <a:endParaRPr lang="hr-HR" sz="120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'UVOZ-IZVOZ'!$AM$8:$AM$16</c:f>
              <c:strCache>
                <c:ptCount val="9"/>
                <c:pt idx="0">
                  <c:v>C</c:v>
                </c:pt>
                <c:pt idx="1">
                  <c:v>E</c:v>
                </c:pt>
                <c:pt idx="2">
                  <c:v>G</c:v>
                </c:pt>
                <c:pt idx="3">
                  <c:v>H</c:v>
                </c:pt>
                <c:pt idx="4">
                  <c:v>I</c:v>
                </c:pt>
                <c:pt idx="5">
                  <c:v>L</c:v>
                </c:pt>
                <c:pt idx="6">
                  <c:v>M</c:v>
                </c:pt>
                <c:pt idx="7">
                  <c:v>N</c:v>
                </c:pt>
                <c:pt idx="8">
                  <c:v>R</c:v>
                </c:pt>
              </c:strCache>
            </c:strRef>
          </c:cat>
          <c:val>
            <c:numRef>
              <c:f>'UVOZ-IZVOZ'!$AO$8:$AO$16</c:f>
              <c:numCache>
                <c:formatCode>General</c:formatCode>
                <c:ptCount val="9"/>
                <c:pt idx="0">
                  <c:v>182451000</c:v>
                </c:pt>
                <c:pt idx="1">
                  <c:v>19065006</c:v>
                </c:pt>
                <c:pt idx="2">
                  <c:v>27182492</c:v>
                </c:pt>
                <c:pt idx="3">
                  <c:v>928448977</c:v>
                </c:pt>
                <c:pt idx="4">
                  <c:v>182068223</c:v>
                </c:pt>
                <c:pt idx="5">
                  <c:v>2333942</c:v>
                </c:pt>
                <c:pt idx="6">
                  <c:v>11542481</c:v>
                </c:pt>
                <c:pt idx="7">
                  <c:v>18992903</c:v>
                </c:pt>
                <c:pt idx="8">
                  <c:v>32549727</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90747489912538026"/>
          <c:y val="0.11690828761162253"/>
          <c:w val="4.993802558714E-2"/>
          <c:h val="0.82333615167844043"/>
        </c:manualLayout>
      </c:layout>
      <c:overlay val="0"/>
      <c:txPr>
        <a:bodyPr/>
        <a:lstStyle/>
        <a:p>
          <a:pPr>
            <a:defRPr sz="1050"/>
          </a:pPr>
          <a:endParaRPr lang="sr-Latn-RS"/>
        </a:p>
      </c:txPr>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barChart>
        <c:barDir val="bar"/>
        <c:grouping val="clustered"/>
        <c:varyColors val="0"/>
        <c:ser>
          <c:idx val="0"/>
          <c:order val="0"/>
          <c:tx>
            <c:v>2001.</c:v>
          </c:tx>
          <c:invertIfNegative val="0"/>
          <c:dLbls>
            <c:txPr>
              <a:bodyPr/>
              <a:lstStyle/>
              <a:p>
                <a:pPr>
                  <a:defRPr sz="800"/>
                </a:pPr>
                <a:endParaRPr lang="sr-Latn-RS"/>
              </a:p>
            </c:txPr>
            <c:showLegendKey val="0"/>
            <c:showVal val="1"/>
            <c:showCatName val="0"/>
            <c:showSerName val="0"/>
            <c:showPercent val="0"/>
            <c:showBubbleSize val="0"/>
            <c:showLeaderLines val="0"/>
          </c:dLbls>
          <c:cat>
            <c:strRef>
              <c:f>Multiplikator!$I$28:$I$32</c:f>
              <c:strCache>
                <c:ptCount val="5"/>
                <c:pt idx="0">
                  <c:v>Zadar</c:v>
                </c:pt>
                <c:pt idx="1">
                  <c:v>Pula</c:v>
                </c:pt>
                <c:pt idx="2">
                  <c:v>Rijeka</c:v>
                </c:pt>
                <c:pt idx="3">
                  <c:v>Split</c:v>
                </c:pt>
                <c:pt idx="4">
                  <c:v>Dubrovnik</c:v>
                </c:pt>
              </c:strCache>
            </c:strRef>
          </c:cat>
          <c:val>
            <c:numRef>
              <c:f>Multiplikator!$K$28:$K$32</c:f>
              <c:numCache>
                <c:formatCode>0.00</c:formatCode>
                <c:ptCount val="5"/>
                <c:pt idx="0">
                  <c:v>14.312045972026455</c:v>
                </c:pt>
                <c:pt idx="1">
                  <c:v>23.456920903954803</c:v>
                </c:pt>
                <c:pt idx="2">
                  <c:v>26.704264963274344</c:v>
                </c:pt>
                <c:pt idx="3">
                  <c:v>21.942160831281559</c:v>
                </c:pt>
                <c:pt idx="4">
                  <c:v>15.476123038577013</c:v>
                </c:pt>
              </c:numCache>
            </c:numRef>
          </c:val>
        </c:ser>
        <c:ser>
          <c:idx val="1"/>
          <c:order val="1"/>
          <c:tx>
            <c:v>2008.</c:v>
          </c:tx>
          <c:invertIfNegative val="0"/>
          <c:dLbls>
            <c:txPr>
              <a:bodyPr/>
              <a:lstStyle/>
              <a:p>
                <a:pPr>
                  <a:defRPr sz="800"/>
                </a:pPr>
                <a:endParaRPr lang="sr-Latn-RS"/>
              </a:p>
            </c:txPr>
            <c:showLegendKey val="0"/>
            <c:showVal val="1"/>
            <c:showCatName val="0"/>
            <c:showSerName val="0"/>
            <c:showPercent val="0"/>
            <c:showBubbleSize val="0"/>
            <c:showLeaderLines val="0"/>
          </c:dLbls>
          <c:cat>
            <c:strRef>
              <c:f>Multiplikator!$I$28:$I$32</c:f>
              <c:strCache>
                <c:ptCount val="5"/>
                <c:pt idx="0">
                  <c:v>Zadar</c:v>
                </c:pt>
                <c:pt idx="1">
                  <c:v>Pula</c:v>
                </c:pt>
                <c:pt idx="2">
                  <c:v>Rijeka</c:v>
                </c:pt>
                <c:pt idx="3">
                  <c:v>Split</c:v>
                </c:pt>
                <c:pt idx="4">
                  <c:v>Dubrovnik</c:v>
                </c:pt>
              </c:strCache>
            </c:strRef>
          </c:cat>
          <c:val>
            <c:numRef>
              <c:f>Multiplikator!$M$28:$M$32</c:f>
              <c:numCache>
                <c:formatCode>0.00</c:formatCode>
                <c:ptCount val="5"/>
                <c:pt idx="0">
                  <c:v>10.828382468333146</c:v>
                </c:pt>
                <c:pt idx="1">
                  <c:v>15.25045629689718</c:v>
                </c:pt>
                <c:pt idx="2">
                  <c:v>22.187996276217074</c:v>
                </c:pt>
                <c:pt idx="3">
                  <c:v>17.446189773303079</c:v>
                </c:pt>
                <c:pt idx="4">
                  <c:v>16.377553331219712</c:v>
                </c:pt>
              </c:numCache>
            </c:numRef>
          </c:val>
        </c:ser>
        <c:ser>
          <c:idx val="2"/>
          <c:order val="2"/>
          <c:tx>
            <c:v>2011.</c:v>
          </c:tx>
          <c:invertIfNegative val="0"/>
          <c:dLbls>
            <c:txPr>
              <a:bodyPr/>
              <a:lstStyle/>
              <a:p>
                <a:pPr>
                  <a:defRPr sz="800"/>
                </a:pPr>
                <a:endParaRPr lang="sr-Latn-RS"/>
              </a:p>
            </c:txPr>
            <c:showLegendKey val="0"/>
            <c:showVal val="1"/>
            <c:showCatName val="0"/>
            <c:showSerName val="0"/>
            <c:showPercent val="0"/>
            <c:showBubbleSize val="0"/>
            <c:showLeaderLines val="0"/>
          </c:dLbls>
          <c:cat>
            <c:strRef>
              <c:f>Multiplikator!$I$28:$I$32</c:f>
              <c:strCache>
                <c:ptCount val="5"/>
                <c:pt idx="0">
                  <c:v>Zadar</c:v>
                </c:pt>
                <c:pt idx="1">
                  <c:v>Pula</c:v>
                </c:pt>
                <c:pt idx="2">
                  <c:v>Rijeka</c:v>
                </c:pt>
                <c:pt idx="3">
                  <c:v>Split</c:v>
                </c:pt>
                <c:pt idx="4">
                  <c:v>Dubrovnik</c:v>
                </c:pt>
              </c:strCache>
            </c:strRef>
          </c:cat>
          <c:val>
            <c:numRef>
              <c:f>Multiplikator!$O$28:$O$32</c:f>
              <c:numCache>
                <c:formatCode>0.00</c:formatCode>
                <c:ptCount val="5"/>
                <c:pt idx="0">
                  <c:v>12.513773489383246</c:v>
                </c:pt>
                <c:pt idx="1">
                  <c:v>15.791619621126586</c:v>
                </c:pt>
                <c:pt idx="2">
                  <c:v>25.034025950458215</c:v>
                </c:pt>
                <c:pt idx="3">
                  <c:v>13.599962424555553</c:v>
                </c:pt>
                <c:pt idx="4">
                  <c:v>13.033330221267855</c:v>
                </c:pt>
              </c:numCache>
            </c:numRef>
          </c:val>
        </c:ser>
        <c:dLbls>
          <c:showLegendKey val="0"/>
          <c:showVal val="0"/>
          <c:showCatName val="0"/>
          <c:showSerName val="0"/>
          <c:showPercent val="0"/>
          <c:showBubbleSize val="0"/>
        </c:dLbls>
        <c:gapWidth val="150"/>
        <c:axId val="354575872"/>
        <c:axId val="354577408"/>
      </c:barChart>
      <c:catAx>
        <c:axId val="354575872"/>
        <c:scaling>
          <c:orientation val="minMax"/>
        </c:scaling>
        <c:delete val="0"/>
        <c:axPos val="l"/>
        <c:majorTickMark val="out"/>
        <c:minorTickMark val="none"/>
        <c:tickLblPos val="nextTo"/>
        <c:crossAx val="354577408"/>
        <c:crosses val="autoZero"/>
        <c:auto val="1"/>
        <c:lblAlgn val="ctr"/>
        <c:lblOffset val="100"/>
        <c:noMultiLvlLbl val="0"/>
      </c:catAx>
      <c:valAx>
        <c:axId val="354577408"/>
        <c:scaling>
          <c:orientation val="minMax"/>
        </c:scaling>
        <c:delete val="0"/>
        <c:axPos val="b"/>
        <c:majorGridlines/>
        <c:numFmt formatCode="0.00" sourceLinked="1"/>
        <c:majorTickMark val="out"/>
        <c:minorTickMark val="none"/>
        <c:tickLblPos val="nextTo"/>
        <c:crossAx val="354575872"/>
        <c:crosses val="autoZero"/>
        <c:crossBetween val="between"/>
      </c:valAx>
    </c:plotArea>
    <c:legend>
      <c:legendPos val="r"/>
      <c:overlay val="0"/>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barChart>
        <c:barDir val="bar"/>
        <c:grouping val="clustered"/>
        <c:varyColors val="0"/>
        <c:ser>
          <c:idx val="0"/>
          <c:order val="0"/>
          <c:tx>
            <c:v>Udio u RH</c:v>
          </c:tx>
          <c:invertIfNegative val="0"/>
          <c:dLbls>
            <c:numFmt formatCode="#,##0.00" sourceLinked="0"/>
            <c:showLegendKey val="0"/>
            <c:showVal val="1"/>
            <c:showCatName val="0"/>
            <c:showSerName val="0"/>
            <c:showPercent val="0"/>
            <c:showBubbleSize val="0"/>
            <c:showLeaderLines val="0"/>
          </c:dLbls>
          <c:cat>
            <c:strRef>
              <c:f>INVESTICIJE!$P$12:$U$12</c:f>
              <c:strCache>
                <c:ptCount val="6"/>
                <c:pt idx="0">
                  <c:v>Zadarska </c:v>
                </c:pt>
                <c:pt idx="1">
                  <c:v>IŽ</c:v>
                </c:pt>
                <c:pt idx="2">
                  <c:v>PGŽ</c:v>
                </c:pt>
                <c:pt idx="3">
                  <c:v>SDŽ</c:v>
                </c:pt>
                <c:pt idx="4">
                  <c:v>ŠKŽ</c:v>
                </c:pt>
                <c:pt idx="5">
                  <c:v>DNŽ</c:v>
                </c:pt>
              </c:strCache>
            </c:strRef>
          </c:cat>
          <c:val>
            <c:numRef>
              <c:f>INVESTICIJE!$P$13:$U$13</c:f>
              <c:numCache>
                <c:formatCode>General</c:formatCode>
                <c:ptCount val="6"/>
                <c:pt idx="0">
                  <c:v>3.1491471792332679</c:v>
                </c:pt>
                <c:pt idx="1">
                  <c:v>5.6769556413943745</c:v>
                </c:pt>
                <c:pt idx="2">
                  <c:v>9.8783690790171939</c:v>
                </c:pt>
                <c:pt idx="3">
                  <c:v>7.8549654063100531</c:v>
                </c:pt>
                <c:pt idx="4">
                  <c:v>2.2380689021304914</c:v>
                </c:pt>
                <c:pt idx="5">
                  <c:v>4.333920555685209</c:v>
                </c:pt>
              </c:numCache>
            </c:numRef>
          </c:val>
        </c:ser>
        <c:dLbls>
          <c:showLegendKey val="0"/>
          <c:showVal val="0"/>
          <c:showCatName val="0"/>
          <c:showSerName val="0"/>
          <c:showPercent val="0"/>
          <c:showBubbleSize val="0"/>
        </c:dLbls>
        <c:gapWidth val="150"/>
        <c:axId val="353233920"/>
        <c:axId val="355484416"/>
      </c:barChart>
      <c:catAx>
        <c:axId val="353233920"/>
        <c:scaling>
          <c:orientation val="minMax"/>
        </c:scaling>
        <c:delete val="0"/>
        <c:axPos val="l"/>
        <c:majorTickMark val="out"/>
        <c:minorTickMark val="none"/>
        <c:tickLblPos val="nextTo"/>
        <c:crossAx val="355484416"/>
        <c:crosses val="autoZero"/>
        <c:auto val="1"/>
        <c:lblAlgn val="ctr"/>
        <c:lblOffset val="100"/>
        <c:noMultiLvlLbl val="0"/>
      </c:catAx>
      <c:valAx>
        <c:axId val="355484416"/>
        <c:scaling>
          <c:orientation val="minMax"/>
        </c:scaling>
        <c:delete val="0"/>
        <c:axPos val="b"/>
        <c:majorGridlines/>
        <c:numFmt formatCode="General" sourceLinked="1"/>
        <c:majorTickMark val="out"/>
        <c:minorTickMark val="none"/>
        <c:tickLblPos val="nextTo"/>
        <c:crossAx val="353233920"/>
        <c:crosses val="autoZero"/>
        <c:crossBetween val="between"/>
      </c:valAx>
    </c:plotArea>
    <c:legend>
      <c:legendPos val="r"/>
      <c:layout>
        <c:manualLayout>
          <c:xMode val="edge"/>
          <c:yMode val="edge"/>
          <c:x val="0.87481701845475313"/>
          <c:y val="0.45814122193059204"/>
          <c:w val="0.11118554774144425"/>
          <c:h val="0.19482830271216098"/>
        </c:manualLayout>
      </c:layout>
      <c:overlay val="0"/>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ZŽ</c:v>
          </c:tx>
          <c:spPr>
            <a:ln>
              <a:solidFill>
                <a:sysClr val="windowText" lastClr="000000"/>
              </a:solidFill>
              <a:prstDash val="sysDash"/>
            </a:ln>
            <a:effectLst>
              <a:outerShdw blurRad="50800" dist="38100" dir="13500000" algn="br" rotWithShape="0">
                <a:prstClr val="black">
                  <a:alpha val="40000"/>
                </a:prstClr>
              </a:outerShdw>
            </a:effectLst>
          </c:spPr>
          <c:marker>
            <c:symbol val="none"/>
          </c:marker>
          <c:dLbls>
            <c:txPr>
              <a:bodyPr/>
              <a:lstStyle/>
              <a:p>
                <a:pPr>
                  <a:defRPr sz="800"/>
                </a:pPr>
                <a:endParaRPr lang="sr-Latn-RS"/>
              </a:p>
            </c:txPr>
            <c:showLegendKey val="0"/>
            <c:showVal val="1"/>
            <c:showCatName val="0"/>
            <c:showSerName val="0"/>
            <c:showPercent val="0"/>
            <c:showBubbleSize val="0"/>
            <c:showLeaderLines val="0"/>
          </c:dLbls>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INVESTICIJE!$Q$16:$Q$25</c:f>
              <c:numCache>
                <c:formatCode>0.00</c:formatCode>
                <c:ptCount val="10"/>
                <c:pt idx="0">
                  <c:v>100</c:v>
                </c:pt>
                <c:pt idx="1">
                  <c:v>60.681740553168339</c:v>
                </c:pt>
                <c:pt idx="2">
                  <c:v>101.05758972434353</c:v>
                </c:pt>
                <c:pt idx="3">
                  <c:v>104.82809950114489</c:v>
                </c:pt>
                <c:pt idx="4">
                  <c:v>118.57223278781157</c:v>
                </c:pt>
                <c:pt idx="5">
                  <c:v>150.84516515351496</c:v>
                </c:pt>
                <c:pt idx="6">
                  <c:v>228.56725688719465</c:v>
                </c:pt>
                <c:pt idx="7">
                  <c:v>187.01500782228445</c:v>
                </c:pt>
                <c:pt idx="8">
                  <c:v>202.88275428749739</c:v>
                </c:pt>
                <c:pt idx="9">
                  <c:v>73.182742058589128</c:v>
                </c:pt>
              </c:numCache>
            </c:numRef>
          </c:val>
          <c:smooth val="0"/>
        </c:ser>
        <c:ser>
          <c:idx val="1"/>
          <c:order val="1"/>
          <c:tx>
            <c:v>IŽ</c:v>
          </c:tx>
          <c:marker>
            <c:symbol val="none"/>
          </c:marker>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INVESTICIJE!$R$16:$R$25</c:f>
              <c:numCache>
                <c:formatCode>0.00</c:formatCode>
                <c:ptCount val="10"/>
                <c:pt idx="0">
                  <c:v>100</c:v>
                </c:pt>
                <c:pt idx="1">
                  <c:v>105.27069299482025</c:v>
                </c:pt>
                <c:pt idx="2">
                  <c:v>113.02970132217254</c:v>
                </c:pt>
                <c:pt idx="3">
                  <c:v>138.22648149909637</c:v>
                </c:pt>
                <c:pt idx="4">
                  <c:v>184.66968385462155</c:v>
                </c:pt>
                <c:pt idx="5">
                  <c:v>225.67665141858998</c:v>
                </c:pt>
                <c:pt idx="6">
                  <c:v>224.85396867947043</c:v>
                </c:pt>
                <c:pt idx="7">
                  <c:v>245.30235293100318</c:v>
                </c:pt>
                <c:pt idx="8">
                  <c:v>187.49886504155029</c:v>
                </c:pt>
                <c:pt idx="9">
                  <c:v>145.68542843060109</c:v>
                </c:pt>
              </c:numCache>
            </c:numRef>
          </c:val>
          <c:smooth val="0"/>
        </c:ser>
        <c:ser>
          <c:idx val="2"/>
          <c:order val="2"/>
          <c:tx>
            <c:v>PGŽ</c:v>
          </c:tx>
          <c:marker>
            <c:symbol val="none"/>
          </c:marker>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INVESTICIJE!$S$16:$S$25</c:f>
              <c:numCache>
                <c:formatCode>0.00</c:formatCode>
                <c:ptCount val="10"/>
                <c:pt idx="0">
                  <c:v>100</c:v>
                </c:pt>
                <c:pt idx="1">
                  <c:v>95.968979425700169</c:v>
                </c:pt>
                <c:pt idx="2">
                  <c:v>114.66682558852779</c:v>
                </c:pt>
                <c:pt idx="3">
                  <c:v>103.5276599039739</c:v>
                </c:pt>
                <c:pt idx="4">
                  <c:v>129.87755313848376</c:v>
                </c:pt>
                <c:pt idx="5">
                  <c:v>144.97334612816482</c:v>
                </c:pt>
                <c:pt idx="6">
                  <c:v>223.01500716972734</c:v>
                </c:pt>
                <c:pt idx="7">
                  <c:v>287.85536975481841</c:v>
                </c:pt>
                <c:pt idx="8">
                  <c:v>244.74019316303557</c:v>
                </c:pt>
                <c:pt idx="9">
                  <c:v>99.376028988644791</c:v>
                </c:pt>
              </c:numCache>
            </c:numRef>
          </c:val>
          <c:smooth val="0"/>
        </c:ser>
        <c:ser>
          <c:idx val="3"/>
          <c:order val="3"/>
          <c:tx>
            <c:v>SDŽ</c:v>
          </c:tx>
          <c:marker>
            <c:symbol val="none"/>
          </c:marker>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INVESTICIJE!$T$16:$T$25</c:f>
              <c:numCache>
                <c:formatCode>0.00</c:formatCode>
                <c:ptCount val="10"/>
                <c:pt idx="0">
                  <c:v>100</c:v>
                </c:pt>
                <c:pt idx="1">
                  <c:v>91.624464914307353</c:v>
                </c:pt>
                <c:pt idx="2">
                  <c:v>129.75413682408436</c:v>
                </c:pt>
                <c:pt idx="3">
                  <c:v>119.26892071140985</c:v>
                </c:pt>
                <c:pt idx="4">
                  <c:v>133.24747088449803</c:v>
                </c:pt>
                <c:pt idx="5">
                  <c:v>181.70397976037918</c:v>
                </c:pt>
                <c:pt idx="6">
                  <c:v>322.9390500982276</c:v>
                </c:pt>
                <c:pt idx="7">
                  <c:v>307.72207162411098</c:v>
                </c:pt>
                <c:pt idx="8">
                  <c:v>229.61780925908121</c:v>
                </c:pt>
                <c:pt idx="9">
                  <c:v>120.79502409171161</c:v>
                </c:pt>
              </c:numCache>
            </c:numRef>
          </c:val>
          <c:smooth val="0"/>
        </c:ser>
        <c:ser>
          <c:idx val="4"/>
          <c:order val="4"/>
          <c:tx>
            <c:v>ŠKŽ</c:v>
          </c:tx>
          <c:marker>
            <c:symbol val="none"/>
          </c:marker>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INVESTICIJE!$U$16:$U$25</c:f>
              <c:numCache>
                <c:formatCode>0.00</c:formatCode>
                <c:ptCount val="10"/>
                <c:pt idx="0">
                  <c:v>100</c:v>
                </c:pt>
                <c:pt idx="1">
                  <c:v>68.9844325298466</c:v>
                </c:pt>
                <c:pt idx="2">
                  <c:v>99.182357320876093</c:v>
                </c:pt>
                <c:pt idx="3">
                  <c:v>77.367481859276168</c:v>
                </c:pt>
                <c:pt idx="4">
                  <c:v>71.884226043423411</c:v>
                </c:pt>
                <c:pt idx="5">
                  <c:v>88.92867983442973</c:v>
                </c:pt>
                <c:pt idx="6">
                  <c:v>129.32896676480556</c:v>
                </c:pt>
                <c:pt idx="7">
                  <c:v>190.63991735098475</c:v>
                </c:pt>
                <c:pt idx="8">
                  <c:v>186.16663467964659</c:v>
                </c:pt>
                <c:pt idx="9">
                  <c:v>89.338249806376453</c:v>
                </c:pt>
              </c:numCache>
            </c:numRef>
          </c:val>
          <c:smooth val="0"/>
        </c:ser>
        <c:ser>
          <c:idx val="5"/>
          <c:order val="5"/>
          <c:tx>
            <c:v>DNŽ</c:v>
          </c:tx>
          <c:marker>
            <c:symbol val="none"/>
          </c:marker>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INVESTICIJE!$V$16:$V$25</c:f>
              <c:numCache>
                <c:formatCode>0.00</c:formatCode>
                <c:ptCount val="10"/>
                <c:pt idx="0">
                  <c:v>100</c:v>
                </c:pt>
                <c:pt idx="1">
                  <c:v>89.617406496171242</c:v>
                </c:pt>
                <c:pt idx="2">
                  <c:v>123.81358621708158</c:v>
                </c:pt>
                <c:pt idx="3">
                  <c:v>139.25951063475455</c:v>
                </c:pt>
                <c:pt idx="4">
                  <c:v>161.45800929460893</c:v>
                </c:pt>
                <c:pt idx="5">
                  <c:v>204.32947157728699</c:v>
                </c:pt>
                <c:pt idx="6">
                  <c:v>353.15162027217684</c:v>
                </c:pt>
                <c:pt idx="7">
                  <c:v>426.46685456984937</c:v>
                </c:pt>
                <c:pt idx="8">
                  <c:v>416.10829884775757</c:v>
                </c:pt>
                <c:pt idx="9">
                  <c:v>137.57325239042387</c:v>
                </c:pt>
              </c:numCache>
            </c:numRef>
          </c:val>
          <c:smooth val="0"/>
        </c:ser>
        <c:ser>
          <c:idx val="6"/>
          <c:order val="6"/>
          <c:tx>
            <c:v>RH</c:v>
          </c:tx>
          <c:spPr>
            <a:ln>
              <a:prstDash val="dash"/>
            </a:ln>
          </c:spPr>
          <c:marker>
            <c:symbol val="none"/>
          </c:marker>
          <c:cat>
            <c:strRef>
              <c:f>INVESTICIJE!$P$16:$P$25</c:f>
              <c:strCache>
                <c:ptCount val="10"/>
                <c:pt idx="0">
                  <c:v>2001.</c:v>
                </c:pt>
                <c:pt idx="1">
                  <c:v>2002.</c:v>
                </c:pt>
                <c:pt idx="2">
                  <c:v>2003.</c:v>
                </c:pt>
                <c:pt idx="3">
                  <c:v>2004.</c:v>
                </c:pt>
                <c:pt idx="4">
                  <c:v>2005.</c:v>
                </c:pt>
                <c:pt idx="5">
                  <c:v>2006.</c:v>
                </c:pt>
                <c:pt idx="6">
                  <c:v>2007.</c:v>
                </c:pt>
                <c:pt idx="7">
                  <c:v>2008.</c:v>
                </c:pt>
                <c:pt idx="8">
                  <c:v>2009.</c:v>
                </c:pt>
                <c:pt idx="9">
                  <c:v>2010.</c:v>
                </c:pt>
              </c:strCache>
            </c:strRef>
          </c:cat>
          <c:val>
            <c:numRef>
              <c:f>INVESTICIJE!$W$16:$W$25</c:f>
              <c:numCache>
                <c:formatCode>0.00</c:formatCode>
                <c:ptCount val="10"/>
                <c:pt idx="0">
                  <c:v>100</c:v>
                </c:pt>
                <c:pt idx="1">
                  <c:v>134.31286414531559</c:v>
                </c:pt>
                <c:pt idx="2">
                  <c:v>181.21242641582151</c:v>
                </c:pt>
                <c:pt idx="3">
                  <c:v>186.0754649762986</c:v>
                </c:pt>
                <c:pt idx="4">
                  <c:v>195.24108492337325</c:v>
                </c:pt>
                <c:pt idx="5">
                  <c:v>234.24891675568676</c:v>
                </c:pt>
                <c:pt idx="6">
                  <c:v>223.08680476462627</c:v>
                </c:pt>
                <c:pt idx="7">
                  <c:v>240.89879897747485</c:v>
                </c:pt>
                <c:pt idx="8">
                  <c:v>201.51171457615339</c:v>
                </c:pt>
                <c:pt idx="9">
                  <c:v>159.38949681354507</c:v>
                </c:pt>
              </c:numCache>
            </c:numRef>
          </c:val>
          <c:smooth val="0"/>
        </c:ser>
        <c:dLbls>
          <c:showLegendKey val="0"/>
          <c:showVal val="0"/>
          <c:showCatName val="0"/>
          <c:showSerName val="0"/>
          <c:showPercent val="0"/>
          <c:showBubbleSize val="0"/>
        </c:dLbls>
        <c:marker val="1"/>
        <c:smooth val="0"/>
        <c:axId val="356091392"/>
        <c:axId val="356092928"/>
      </c:lineChart>
      <c:catAx>
        <c:axId val="356091392"/>
        <c:scaling>
          <c:orientation val="minMax"/>
        </c:scaling>
        <c:delete val="0"/>
        <c:axPos val="b"/>
        <c:numFmt formatCode="General" sourceLinked="1"/>
        <c:majorTickMark val="out"/>
        <c:minorTickMark val="none"/>
        <c:tickLblPos val="nextTo"/>
        <c:crossAx val="356092928"/>
        <c:crosses val="autoZero"/>
        <c:auto val="1"/>
        <c:lblAlgn val="ctr"/>
        <c:lblOffset val="100"/>
        <c:noMultiLvlLbl val="0"/>
      </c:catAx>
      <c:valAx>
        <c:axId val="356092928"/>
        <c:scaling>
          <c:orientation val="minMax"/>
        </c:scaling>
        <c:delete val="0"/>
        <c:axPos val="l"/>
        <c:majorGridlines/>
        <c:numFmt formatCode="0.00" sourceLinked="1"/>
        <c:majorTickMark val="out"/>
        <c:minorTickMark val="none"/>
        <c:tickLblPos val="nextTo"/>
        <c:crossAx val="356091392"/>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r-HR" sz="1200"/>
              <a:t>Indeks broja zaposlenih po godinama</a:t>
            </a:r>
          </a:p>
        </c:rich>
      </c:tx>
      <c:overlay val="0"/>
    </c:title>
    <c:autoTitleDeleted val="0"/>
    <c:plotArea>
      <c:layout/>
      <c:lineChart>
        <c:grouping val="standard"/>
        <c:varyColors val="0"/>
        <c:ser>
          <c:idx val="2"/>
          <c:order val="0"/>
          <c:tx>
            <c:v>Zadar</c:v>
          </c:tx>
          <c:spPr>
            <a:ln>
              <a:solidFill>
                <a:srgbClr val="FF0000"/>
              </a:solidFill>
            </a:ln>
          </c:spPr>
          <c:marker>
            <c:symbol val="none"/>
          </c:marker>
          <c:dLbls>
            <c:dLbl>
              <c:idx val="1"/>
              <c:delete val="1"/>
            </c:dLbl>
            <c:dLbl>
              <c:idx val="3"/>
              <c:delete val="1"/>
            </c:dLbl>
            <c:dLbl>
              <c:idx val="9"/>
              <c:delete val="1"/>
            </c:dLbl>
            <c:numFmt formatCode="#,##0.0" sourceLinked="0"/>
            <c:txPr>
              <a:bodyPr/>
              <a:lstStyle/>
              <a:p>
                <a:pPr>
                  <a:defRPr sz="800"/>
                </a:pPr>
                <a:endParaRPr lang="sr-Latn-RS"/>
              </a:p>
            </c:txPr>
            <c:showLegendKey val="0"/>
            <c:showVal val="1"/>
            <c:showCatName val="0"/>
            <c:showSerName val="0"/>
            <c:showPercent val="0"/>
            <c:showBubbleSize val="0"/>
            <c:showLeaderLines val="0"/>
          </c:dLbls>
          <c:cat>
            <c:numRef>
              <c:f>List1!$B$112:$B$122</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List1!$D$112:$D$122</c:f>
              <c:numCache>
                <c:formatCode>0.00</c:formatCode>
                <c:ptCount val="11"/>
                <c:pt idx="0">
                  <c:v>100</c:v>
                </c:pt>
                <c:pt idx="1">
                  <c:v>101.85406050092161</c:v>
                </c:pt>
                <c:pt idx="2">
                  <c:v>102.1865625790596</c:v>
                </c:pt>
                <c:pt idx="3">
                  <c:v>104.46347898370017</c:v>
                </c:pt>
                <c:pt idx="4">
                  <c:v>107.30420325996603</c:v>
                </c:pt>
                <c:pt idx="5">
                  <c:v>111.20387437204091</c:v>
                </c:pt>
                <c:pt idx="6">
                  <c:v>124.99548230872095</c:v>
                </c:pt>
                <c:pt idx="7">
                  <c:v>128.96743648126062</c:v>
                </c:pt>
                <c:pt idx="8">
                  <c:v>125.54483356825328</c:v>
                </c:pt>
                <c:pt idx="9">
                  <c:v>121.72105966966642</c:v>
                </c:pt>
                <c:pt idx="10">
                  <c:v>121.35964436734253</c:v>
                </c:pt>
              </c:numCache>
            </c:numRef>
          </c:val>
          <c:smooth val="0"/>
        </c:ser>
        <c:ser>
          <c:idx val="3"/>
          <c:order val="1"/>
          <c:tx>
            <c:v>Pula</c:v>
          </c:tx>
          <c:marker>
            <c:symbol val="none"/>
          </c:marker>
          <c:cat>
            <c:numRef>
              <c:f>List1!$B$112:$B$122</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List1!$F$112:$F$122</c:f>
              <c:numCache>
                <c:formatCode>0.00</c:formatCode>
                <c:ptCount val="11"/>
                <c:pt idx="0">
                  <c:v>100</c:v>
                </c:pt>
                <c:pt idx="1">
                  <c:v>100.77683615819208</c:v>
                </c:pt>
                <c:pt idx="2">
                  <c:v>102.10805084745762</c:v>
                </c:pt>
                <c:pt idx="3">
                  <c:v>105.39548022598871</c:v>
                </c:pt>
                <c:pt idx="4">
                  <c:v>108.81709039548022</c:v>
                </c:pt>
                <c:pt idx="5">
                  <c:v>110.49081920903956</c:v>
                </c:pt>
                <c:pt idx="6">
                  <c:v>120.33545197740112</c:v>
                </c:pt>
                <c:pt idx="7">
                  <c:v>121.88206214689265</c:v>
                </c:pt>
                <c:pt idx="8">
                  <c:v>117.08686440677967</c:v>
                </c:pt>
                <c:pt idx="9">
                  <c:v>112.2175141242938</c:v>
                </c:pt>
                <c:pt idx="10">
                  <c:v>112.58474576271186</c:v>
                </c:pt>
              </c:numCache>
            </c:numRef>
          </c:val>
          <c:smooth val="0"/>
        </c:ser>
        <c:ser>
          <c:idx val="4"/>
          <c:order val="2"/>
          <c:tx>
            <c:v>Rijeka</c:v>
          </c:tx>
          <c:marker>
            <c:symbol val="none"/>
          </c:marker>
          <c:cat>
            <c:numRef>
              <c:f>List1!$B$112:$B$122</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List1!$H$112:$H$122</c:f>
              <c:numCache>
                <c:formatCode>0.00</c:formatCode>
                <c:ptCount val="11"/>
                <c:pt idx="0">
                  <c:v>100</c:v>
                </c:pt>
                <c:pt idx="1">
                  <c:v>101.46603437701019</c:v>
                </c:pt>
                <c:pt idx="2">
                  <c:v>102.41147695483717</c:v>
                </c:pt>
                <c:pt idx="3">
                  <c:v>103.62469519948539</c:v>
                </c:pt>
                <c:pt idx="4">
                  <c:v>105.20442203838616</c:v>
                </c:pt>
                <c:pt idx="5">
                  <c:v>106.19025535925321</c:v>
                </c:pt>
                <c:pt idx="6">
                  <c:v>108.10657172348796</c:v>
                </c:pt>
                <c:pt idx="7">
                  <c:v>109.27042350442053</c:v>
                </c:pt>
                <c:pt idx="8">
                  <c:v>104.52077131359671</c:v>
                </c:pt>
                <c:pt idx="9">
                  <c:v>100.10920460155279</c:v>
                </c:pt>
                <c:pt idx="10">
                  <c:v>98.921417565485356</c:v>
                </c:pt>
              </c:numCache>
            </c:numRef>
          </c:val>
          <c:smooth val="0"/>
        </c:ser>
        <c:ser>
          <c:idx val="5"/>
          <c:order val="3"/>
          <c:tx>
            <c:v>Split</c:v>
          </c:tx>
          <c:marker>
            <c:symbol val="none"/>
          </c:marker>
          <c:cat>
            <c:numRef>
              <c:f>List1!$B$112:$B$122</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List1!$J$112:$J$122</c:f>
              <c:numCache>
                <c:formatCode>0.00</c:formatCode>
                <c:ptCount val="11"/>
                <c:pt idx="0">
                  <c:v>100</c:v>
                </c:pt>
                <c:pt idx="1">
                  <c:v>103.40942286024288</c:v>
                </c:pt>
                <c:pt idx="2">
                  <c:v>106.90091669100977</c:v>
                </c:pt>
                <c:pt idx="3">
                  <c:v>108.43244446299155</c:v>
                </c:pt>
                <c:pt idx="4">
                  <c:v>112.04356716604767</c:v>
                </c:pt>
                <c:pt idx="5">
                  <c:v>113.65438384175603</c:v>
                </c:pt>
                <c:pt idx="6">
                  <c:v>122.72809470155379</c:v>
                </c:pt>
                <c:pt idx="7">
                  <c:v>126.28079400186398</c:v>
                </c:pt>
                <c:pt idx="8">
                  <c:v>122.20506614363811</c:v>
                </c:pt>
                <c:pt idx="9">
                  <c:v>119.0724589297389</c:v>
                </c:pt>
                <c:pt idx="10">
                  <c:v>118.46318630110308</c:v>
                </c:pt>
              </c:numCache>
            </c:numRef>
          </c:val>
          <c:smooth val="0"/>
        </c:ser>
        <c:ser>
          <c:idx val="0"/>
          <c:order val="4"/>
          <c:tx>
            <c:v>Dubrovnik</c:v>
          </c:tx>
          <c:marker>
            <c:symbol val="none"/>
          </c:marker>
          <c:cat>
            <c:numRef>
              <c:f>List1!$B$112:$B$122</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List1!$L$112:$L$122</c:f>
              <c:numCache>
                <c:formatCode>0.00</c:formatCode>
                <c:ptCount val="11"/>
                <c:pt idx="0">
                  <c:v>100</c:v>
                </c:pt>
                <c:pt idx="1">
                  <c:v>102.0053248739591</c:v>
                </c:pt>
                <c:pt idx="2">
                  <c:v>104.02197926698011</c:v>
                </c:pt>
                <c:pt idx="3">
                  <c:v>103.66509941652977</c:v>
                </c:pt>
                <c:pt idx="4">
                  <c:v>107.27355123774996</c:v>
                </c:pt>
                <c:pt idx="5">
                  <c:v>109.00696765422309</c:v>
                </c:pt>
                <c:pt idx="6">
                  <c:v>120.04758398006005</c:v>
                </c:pt>
                <c:pt idx="7">
                  <c:v>125.07222568401973</c:v>
                </c:pt>
                <c:pt idx="8">
                  <c:v>122.00759077777148</c:v>
                </c:pt>
                <c:pt idx="9">
                  <c:v>119.18654053135444</c:v>
                </c:pt>
                <c:pt idx="10">
                  <c:v>121.35047867218036</c:v>
                </c:pt>
              </c:numCache>
            </c:numRef>
          </c:val>
          <c:smooth val="0"/>
        </c:ser>
        <c:dLbls>
          <c:showLegendKey val="0"/>
          <c:showVal val="0"/>
          <c:showCatName val="0"/>
          <c:showSerName val="0"/>
          <c:showPercent val="0"/>
          <c:showBubbleSize val="0"/>
        </c:dLbls>
        <c:marker val="1"/>
        <c:smooth val="0"/>
        <c:axId val="321908736"/>
        <c:axId val="321910272"/>
      </c:lineChart>
      <c:catAx>
        <c:axId val="321908736"/>
        <c:scaling>
          <c:orientation val="minMax"/>
        </c:scaling>
        <c:delete val="0"/>
        <c:axPos val="b"/>
        <c:numFmt formatCode="General" sourceLinked="1"/>
        <c:majorTickMark val="none"/>
        <c:minorTickMark val="none"/>
        <c:tickLblPos val="nextTo"/>
        <c:txPr>
          <a:bodyPr/>
          <a:lstStyle/>
          <a:p>
            <a:pPr>
              <a:defRPr sz="900"/>
            </a:pPr>
            <a:endParaRPr lang="sr-Latn-RS"/>
          </a:p>
        </c:txPr>
        <c:crossAx val="321910272"/>
        <c:crosses val="autoZero"/>
        <c:auto val="1"/>
        <c:lblAlgn val="ctr"/>
        <c:lblOffset val="100"/>
        <c:noMultiLvlLbl val="0"/>
      </c:catAx>
      <c:valAx>
        <c:axId val="321910272"/>
        <c:scaling>
          <c:orientation val="minMax"/>
          <c:min val="90"/>
        </c:scaling>
        <c:delete val="0"/>
        <c:axPos val="l"/>
        <c:majorGridlines/>
        <c:title>
          <c:tx>
            <c:rich>
              <a:bodyPr/>
              <a:lstStyle/>
              <a:p>
                <a:pPr>
                  <a:defRPr/>
                </a:pPr>
                <a:r>
                  <a:rPr lang="en-US"/>
                  <a:t>I</a:t>
                </a:r>
                <a:r>
                  <a:rPr lang="hr-HR"/>
                  <a:t>ndeks 2001=100</a:t>
                </a:r>
                <a:endParaRPr lang="en-US"/>
              </a:p>
            </c:rich>
          </c:tx>
          <c:overlay val="0"/>
        </c:title>
        <c:numFmt formatCode="0.00" sourceLinked="1"/>
        <c:majorTickMark val="none"/>
        <c:minorTickMark val="none"/>
        <c:tickLblPos val="nextTo"/>
        <c:crossAx val="321908736"/>
        <c:crosses val="autoZero"/>
        <c:crossBetween val="between"/>
      </c:valAx>
    </c:plotArea>
    <c:legend>
      <c:legendPos val="r"/>
      <c:overlay val="0"/>
      <c:txPr>
        <a:bodyPr/>
        <a:lstStyle/>
        <a:p>
          <a:pPr>
            <a:defRPr sz="800"/>
          </a:pPr>
          <a:endParaRPr lang="sr-Latn-RS"/>
        </a:p>
      </c:txPr>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r-HR" sz="1200"/>
              <a:t>ZŽ - struktura</a:t>
            </a:r>
            <a:r>
              <a:rPr lang="hr-HR" sz="1200" baseline="0"/>
              <a:t> ulaganja po sektorima</a:t>
            </a:r>
            <a:endParaRPr lang="hr-HR" sz="120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INVESTICIJE!$B$5:$B$23</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INVESTICIJE!$D$5:$D$23</c:f>
              <c:numCache>
                <c:formatCode>General</c:formatCode>
                <c:ptCount val="19"/>
                <c:pt idx="0">
                  <c:v>58694</c:v>
                </c:pt>
                <c:pt idx="1">
                  <c:v>28443</c:v>
                </c:pt>
                <c:pt idx="2">
                  <c:v>124201</c:v>
                </c:pt>
                <c:pt idx="3">
                  <c:v>76268</c:v>
                </c:pt>
                <c:pt idx="4">
                  <c:v>115823</c:v>
                </c:pt>
                <c:pt idx="5">
                  <c:v>530425</c:v>
                </c:pt>
                <c:pt idx="6">
                  <c:v>102157</c:v>
                </c:pt>
                <c:pt idx="7">
                  <c:v>83830</c:v>
                </c:pt>
                <c:pt idx="8">
                  <c:v>341686</c:v>
                </c:pt>
                <c:pt idx="9">
                  <c:v>67855</c:v>
                </c:pt>
                <c:pt idx="10">
                  <c:v>112479</c:v>
                </c:pt>
                <c:pt idx="11">
                  <c:v>36277</c:v>
                </c:pt>
                <c:pt idx="12">
                  <c:v>7085</c:v>
                </c:pt>
                <c:pt idx="13">
                  <c:v>36594</c:v>
                </c:pt>
                <c:pt idx="14">
                  <c:v>36460</c:v>
                </c:pt>
                <c:pt idx="15">
                  <c:v>51359</c:v>
                </c:pt>
                <c:pt idx="16">
                  <c:v>56996</c:v>
                </c:pt>
                <c:pt idx="17">
                  <c:v>42919</c:v>
                </c:pt>
                <c:pt idx="18">
                  <c:v>14938</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9263069590212093"/>
          <c:y val="6.3604059179280414E-2"/>
          <c:w val="5.9671622802506118E-2"/>
          <c:h val="0.86298627227830771"/>
        </c:manualLayout>
      </c:layout>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r-HR" sz="1200"/>
              <a:t>Ulaganja u 2007, NKD 2002</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INVESTICIJE!$B$99:$B$113</c:f>
              <c:strCache>
                <c:ptCount val="15"/>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strCache>
            </c:strRef>
          </c:cat>
          <c:val>
            <c:numRef>
              <c:f>INVESTICIJE!$D$99:$D$113</c:f>
              <c:numCache>
                <c:formatCode>General</c:formatCode>
                <c:ptCount val="15"/>
                <c:pt idx="0">
                  <c:v>44593</c:v>
                </c:pt>
                <c:pt idx="1">
                  <c:v>19254</c:v>
                </c:pt>
                <c:pt idx="2">
                  <c:v>26873</c:v>
                </c:pt>
                <c:pt idx="3">
                  <c:v>129361</c:v>
                </c:pt>
                <c:pt idx="4">
                  <c:v>294066</c:v>
                </c:pt>
                <c:pt idx="5">
                  <c:v>397155</c:v>
                </c:pt>
                <c:pt idx="6">
                  <c:v>207687</c:v>
                </c:pt>
                <c:pt idx="7">
                  <c:v>228076</c:v>
                </c:pt>
                <c:pt idx="8">
                  <c:v>118733</c:v>
                </c:pt>
                <c:pt idx="9">
                  <c:v>164903</c:v>
                </c:pt>
                <c:pt idx="10">
                  <c:v>217502</c:v>
                </c:pt>
                <c:pt idx="11">
                  <c:v>33243</c:v>
                </c:pt>
                <c:pt idx="12">
                  <c:v>104373</c:v>
                </c:pt>
                <c:pt idx="13">
                  <c:v>39265</c:v>
                </c:pt>
                <c:pt idx="14">
                  <c:v>143041</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92521464320620495"/>
          <c:y val="4.0203799927692858E-2"/>
          <c:w val="6.0556106010532636E-2"/>
          <c:h val="0.90033353029687579"/>
        </c:manualLayout>
      </c:layout>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200"/>
            </a:pPr>
            <a:r>
              <a:rPr lang="hr-HR" sz="1200"/>
              <a:t>Rast</a:t>
            </a:r>
            <a:r>
              <a:rPr lang="hr-HR" sz="1200" baseline="0"/>
              <a:t> investicija od 2001.-2007. po izabranim sektorima</a:t>
            </a:r>
            <a:endParaRPr lang="en-US" sz="1200"/>
          </a:p>
        </c:rich>
      </c:tx>
      <c:overlay val="0"/>
    </c:title>
    <c:autoTitleDeleted val="0"/>
    <c:plotArea>
      <c:layout>
        <c:manualLayout>
          <c:layoutTarget val="inner"/>
          <c:xMode val="edge"/>
          <c:yMode val="edge"/>
          <c:x val="0.10730356020210149"/>
          <c:y val="0.13433639906241468"/>
          <c:w val="0.69116308378119395"/>
          <c:h val="0.70767298713939997"/>
        </c:manualLayout>
      </c:layout>
      <c:barChart>
        <c:barDir val="col"/>
        <c:grouping val="clustered"/>
        <c:varyColors val="0"/>
        <c:ser>
          <c:idx val="0"/>
          <c:order val="0"/>
          <c:tx>
            <c:v>% promjene investicija</c:v>
          </c:tx>
          <c:invertIfNegative val="0"/>
          <c:dLbls>
            <c:showLegendKey val="0"/>
            <c:showVal val="1"/>
            <c:showCatName val="0"/>
            <c:showSerName val="0"/>
            <c:showPercent val="0"/>
            <c:showBubbleSize val="0"/>
            <c:showLeaderLines val="0"/>
          </c:dLbls>
          <c:cat>
            <c:strRef>
              <c:f>INVESTICIJE!$AB$5:$AB$9</c:f>
              <c:strCache>
                <c:ptCount val="5"/>
                <c:pt idx="0">
                  <c:v>Prerađivačka industrija</c:v>
                </c:pt>
                <c:pt idx="1">
                  <c:v>Građevinarstvo</c:v>
                </c:pt>
                <c:pt idx="2">
                  <c:v>Trgovina</c:v>
                </c:pt>
                <c:pt idx="3">
                  <c:v>Prijevoz i skladištenje</c:v>
                </c:pt>
                <c:pt idx="4">
                  <c:v>Djelatnosti pružanja smještaja i hrane</c:v>
                </c:pt>
              </c:strCache>
            </c:strRef>
          </c:cat>
          <c:val>
            <c:numRef>
              <c:f>INVESTICIJE!$AE$5:$AE$9</c:f>
              <c:numCache>
                <c:formatCode>0.00</c:formatCode>
                <c:ptCount val="5"/>
                <c:pt idx="0">
                  <c:v>141.52539208364453</c:v>
                </c:pt>
                <c:pt idx="1">
                  <c:v>231.42649709593434</c:v>
                </c:pt>
                <c:pt idx="2">
                  <c:v>72.546233986341662</c:v>
                </c:pt>
                <c:pt idx="3">
                  <c:v>30.972367767911312</c:v>
                </c:pt>
                <c:pt idx="4">
                  <c:v>1000.1688292894698</c:v>
                </c:pt>
              </c:numCache>
            </c:numRef>
          </c:val>
        </c:ser>
        <c:dLbls>
          <c:showLegendKey val="0"/>
          <c:showVal val="0"/>
          <c:showCatName val="0"/>
          <c:showSerName val="0"/>
          <c:showPercent val="0"/>
          <c:showBubbleSize val="0"/>
        </c:dLbls>
        <c:gapWidth val="150"/>
        <c:axId val="358183680"/>
        <c:axId val="358185216"/>
      </c:barChart>
      <c:catAx>
        <c:axId val="358183680"/>
        <c:scaling>
          <c:orientation val="minMax"/>
        </c:scaling>
        <c:delete val="0"/>
        <c:axPos val="b"/>
        <c:majorTickMark val="none"/>
        <c:minorTickMark val="none"/>
        <c:tickLblPos val="nextTo"/>
        <c:txPr>
          <a:bodyPr/>
          <a:lstStyle/>
          <a:p>
            <a:pPr>
              <a:defRPr sz="800"/>
            </a:pPr>
            <a:endParaRPr lang="sr-Latn-RS"/>
          </a:p>
        </c:txPr>
        <c:crossAx val="358185216"/>
        <c:crosses val="autoZero"/>
        <c:auto val="1"/>
        <c:lblAlgn val="ctr"/>
        <c:lblOffset val="100"/>
        <c:noMultiLvlLbl val="0"/>
      </c:catAx>
      <c:valAx>
        <c:axId val="358185216"/>
        <c:scaling>
          <c:orientation val="minMax"/>
        </c:scaling>
        <c:delete val="0"/>
        <c:axPos val="l"/>
        <c:majorGridlines/>
        <c:numFmt formatCode="0.00" sourceLinked="1"/>
        <c:majorTickMark val="none"/>
        <c:minorTickMark val="none"/>
        <c:tickLblPos val="nextTo"/>
        <c:crossAx val="358183680"/>
        <c:crosses val="autoZero"/>
        <c:crossBetween val="between"/>
      </c:valAx>
    </c:plotArea>
    <c:legend>
      <c:legendPos val="r"/>
      <c:layout>
        <c:manualLayout>
          <c:xMode val="edge"/>
          <c:yMode val="edge"/>
          <c:x val="0.81586694024358064"/>
          <c:y val="0.42571833907022483"/>
          <c:w val="0.17093565038252795"/>
          <c:h val="0.29380375646978835"/>
        </c:manualLayout>
      </c:layout>
      <c:overlay val="0"/>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9.1898875334883653E-2"/>
          <c:y val="4.6188321857936566E-2"/>
          <c:w val="0.71369365957066222"/>
          <c:h val="0.67504481015017637"/>
        </c:manualLayout>
      </c:layout>
      <c:barChart>
        <c:barDir val="col"/>
        <c:grouping val="clustered"/>
        <c:varyColors val="0"/>
        <c:ser>
          <c:idx val="0"/>
          <c:order val="0"/>
          <c:tx>
            <c:v>broj zaposlenih po poduzetniku</c:v>
          </c:tx>
          <c:invertIfNegative val="0"/>
          <c:dLbls>
            <c:showLegendKey val="0"/>
            <c:showVal val="1"/>
            <c:showCatName val="0"/>
            <c:showSerName val="0"/>
            <c:showPercent val="0"/>
            <c:showBubbleSize val="0"/>
            <c:showLeaderLines val="0"/>
          </c:dLbls>
          <c:cat>
            <c:strRef>
              <c:f>MSP!$C$34:$C$44</c:f>
              <c:strCache>
                <c:ptCount val="11"/>
                <c:pt idx="0">
                  <c:v>GRAD ZAGREB</c:v>
                </c:pt>
                <c:pt idx="1">
                  <c:v>SPLIT</c:v>
                </c:pt>
                <c:pt idx="2">
                  <c:v>RIJEKA</c:v>
                </c:pt>
                <c:pt idx="3">
                  <c:v>OSIJEK</c:v>
                </c:pt>
                <c:pt idx="4">
                  <c:v>ZADAR</c:v>
                </c:pt>
                <c:pt idx="5">
                  <c:v>VARAŽDIN</c:v>
                </c:pt>
                <c:pt idx="6">
                  <c:v>PULA</c:v>
                </c:pt>
                <c:pt idx="7">
                  <c:v>KARLOVAC</c:v>
                </c:pt>
                <c:pt idx="8">
                  <c:v>ŠIBENIK</c:v>
                </c:pt>
                <c:pt idx="9">
                  <c:v>VELIKA GORICA</c:v>
                </c:pt>
                <c:pt idx="10">
                  <c:v>HRVATSKA</c:v>
                </c:pt>
              </c:strCache>
            </c:strRef>
          </c:cat>
          <c:val>
            <c:numRef>
              <c:f>MSP!$D$34:$D$44</c:f>
              <c:numCache>
                <c:formatCode>#,##0.00</c:formatCode>
                <c:ptCount val="11"/>
                <c:pt idx="0">
                  <c:v>10.548531607765057</c:v>
                </c:pt>
                <c:pt idx="1">
                  <c:v>6.2494789161455824</c:v>
                </c:pt>
                <c:pt idx="2">
                  <c:v>8.0160975609756093</c:v>
                </c:pt>
                <c:pt idx="3">
                  <c:v>9.8804889090086014</c:v>
                </c:pt>
                <c:pt idx="4">
                  <c:v>7.2933114035087723</c:v>
                </c:pt>
                <c:pt idx="5">
                  <c:v>13.013166556945359</c:v>
                </c:pt>
                <c:pt idx="6">
                  <c:v>5.7289229528035497</c:v>
                </c:pt>
                <c:pt idx="7">
                  <c:v>9.3388834476003915</c:v>
                </c:pt>
                <c:pt idx="8">
                  <c:v>6.7369498464687823</c:v>
                </c:pt>
                <c:pt idx="9">
                  <c:v>7.6634538152610441</c:v>
                </c:pt>
                <c:pt idx="10" formatCode="0.00">
                  <c:v>8.6</c:v>
                </c:pt>
              </c:numCache>
            </c:numRef>
          </c:val>
        </c:ser>
        <c:dLbls>
          <c:showLegendKey val="0"/>
          <c:showVal val="0"/>
          <c:showCatName val="0"/>
          <c:showSerName val="0"/>
          <c:showPercent val="0"/>
          <c:showBubbleSize val="0"/>
        </c:dLbls>
        <c:gapWidth val="150"/>
        <c:axId val="358222464"/>
        <c:axId val="358515072"/>
      </c:barChart>
      <c:catAx>
        <c:axId val="358222464"/>
        <c:scaling>
          <c:orientation val="minMax"/>
        </c:scaling>
        <c:delete val="0"/>
        <c:axPos val="b"/>
        <c:majorTickMark val="out"/>
        <c:minorTickMark val="none"/>
        <c:tickLblPos val="nextTo"/>
        <c:crossAx val="358515072"/>
        <c:crosses val="autoZero"/>
        <c:auto val="1"/>
        <c:lblAlgn val="ctr"/>
        <c:lblOffset val="100"/>
        <c:noMultiLvlLbl val="0"/>
      </c:catAx>
      <c:valAx>
        <c:axId val="358515072"/>
        <c:scaling>
          <c:orientation val="minMax"/>
        </c:scaling>
        <c:delete val="0"/>
        <c:axPos val="l"/>
        <c:majorGridlines/>
        <c:numFmt formatCode="#,##0.00" sourceLinked="1"/>
        <c:majorTickMark val="out"/>
        <c:minorTickMark val="none"/>
        <c:tickLblPos val="nextTo"/>
        <c:crossAx val="358222464"/>
        <c:crosses val="autoZero"/>
        <c:crossBetween val="between"/>
      </c:valAx>
    </c:plotArea>
    <c:legend>
      <c:legendPos val="r"/>
      <c:layout>
        <c:manualLayout>
          <c:xMode val="edge"/>
          <c:yMode val="edge"/>
          <c:x val="0.81473421192570616"/>
          <c:y val="0.27259725885809832"/>
          <c:w val="0.18264844086788135"/>
          <c:h val="0.44787634304332641"/>
        </c:manualLayout>
      </c:layout>
      <c:overlay val="0"/>
    </c:legend>
    <c:plotVisOnly val="1"/>
    <c:dispBlanksAs val="gap"/>
    <c:showDLblsOverMax val="0"/>
  </c:chart>
  <c:txPr>
    <a:bodyPr/>
    <a:lstStyle/>
    <a:p>
      <a:pPr>
        <a:defRPr sz="800"/>
      </a:pPr>
      <a:endParaRPr lang="sr-Latn-R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16907261592301"/>
          <c:y val="5.1400554097404488E-2"/>
          <c:w val="0.65235783027121608"/>
          <c:h val="0.68419400699912514"/>
        </c:manualLayout>
      </c:layout>
      <c:lineChart>
        <c:grouping val="standard"/>
        <c:varyColors val="0"/>
        <c:ser>
          <c:idx val="0"/>
          <c:order val="0"/>
          <c:tx>
            <c:v>broj posl. subjekata</c:v>
          </c:tx>
          <c:dLbls>
            <c:dLbl>
              <c:idx val="3"/>
              <c:layout>
                <c:manualLayout>
                  <c:x val="4.9109883364027006E-3"/>
                  <c:y val="4.1360672962894277E-17"/>
                </c:manualLayout>
              </c:layout>
              <c:showLegendKey val="0"/>
              <c:showVal val="1"/>
              <c:showCatName val="0"/>
              <c:showSerName val="0"/>
              <c:showPercent val="0"/>
              <c:showBubbleSize val="0"/>
            </c:dLbl>
            <c:dLbl>
              <c:idx val="5"/>
              <c:layout>
                <c:manualLayout>
                  <c:x val="0"/>
                  <c:y val="-1.8048502151964105E-2"/>
                </c:manualLayout>
              </c:layout>
              <c:showLegendKey val="0"/>
              <c:showVal val="1"/>
              <c:showCatName val="0"/>
              <c:showSerName val="0"/>
              <c:showPercent val="0"/>
              <c:showBubbleSize val="0"/>
            </c:dLbl>
            <c:dLbl>
              <c:idx val="6"/>
              <c:layout>
                <c:manualLayout>
                  <c:x val="-9.003374608986514E-17"/>
                  <c:y val="-2.7072753227946188E-2"/>
                </c:manualLayout>
              </c:layout>
              <c:showLegendKey val="0"/>
              <c:showVal val="1"/>
              <c:showCatName val="0"/>
              <c:showSerName val="0"/>
              <c:showPercent val="0"/>
              <c:showBubbleSize val="0"/>
            </c:dLbl>
            <c:txPr>
              <a:bodyPr/>
              <a:lstStyle/>
              <a:p>
                <a:pPr>
                  <a:defRPr sz="800"/>
                </a:pPr>
                <a:endParaRPr lang="sr-Latn-RS"/>
              </a:p>
            </c:txPr>
            <c:showLegendKey val="0"/>
            <c:showVal val="1"/>
            <c:showCatName val="0"/>
            <c:showSerName val="0"/>
            <c:showPercent val="0"/>
            <c:showBubbleSize val="0"/>
            <c:showLeaderLines val="0"/>
          </c:dLbls>
          <c:cat>
            <c:strRef>
              <c:f>'[BLOKADE_pregled od 2005. do 2012.xls]Pregled 2005_2012'!$B$21:$B$28</c:f>
              <c:strCache>
                <c:ptCount val="8"/>
                <c:pt idx="0">
                  <c:v>31.12.2005.</c:v>
                </c:pt>
                <c:pt idx="1">
                  <c:v>31.12.2006.</c:v>
                </c:pt>
                <c:pt idx="2">
                  <c:v>31.12.2007.</c:v>
                </c:pt>
                <c:pt idx="3">
                  <c:v>31.12.2008.</c:v>
                </c:pt>
                <c:pt idx="4">
                  <c:v>31.12.2009.</c:v>
                </c:pt>
                <c:pt idx="5">
                  <c:v> 31.12.2010.</c:v>
                </c:pt>
                <c:pt idx="6">
                  <c:v>31.12.2011.</c:v>
                </c:pt>
                <c:pt idx="7">
                  <c:v>31.08.2012.</c:v>
                </c:pt>
              </c:strCache>
            </c:strRef>
          </c:cat>
          <c:val>
            <c:numRef>
              <c:f>'[BLOKADE_pregled od 2005. do 2012.xls]Pregled 2005_2012'!$I$21:$I$28</c:f>
              <c:numCache>
                <c:formatCode>#,##0</c:formatCode>
                <c:ptCount val="8"/>
                <c:pt idx="0">
                  <c:v>1861</c:v>
                </c:pt>
                <c:pt idx="1">
                  <c:v>1996</c:v>
                </c:pt>
                <c:pt idx="2">
                  <c:v>2157</c:v>
                </c:pt>
                <c:pt idx="3">
                  <c:v>1419</c:v>
                </c:pt>
                <c:pt idx="4">
                  <c:v>1698</c:v>
                </c:pt>
                <c:pt idx="5">
                  <c:v>1963</c:v>
                </c:pt>
                <c:pt idx="6">
                  <c:v>1634</c:v>
                </c:pt>
                <c:pt idx="7">
                  <c:v>1680</c:v>
                </c:pt>
              </c:numCache>
            </c:numRef>
          </c:val>
          <c:smooth val="0"/>
        </c:ser>
        <c:ser>
          <c:idx val="1"/>
          <c:order val="1"/>
          <c:tx>
            <c:v>broj zaposlenih</c:v>
          </c:tx>
          <c:dLbls>
            <c:dLbl>
              <c:idx val="4"/>
              <c:layout>
                <c:manualLayout>
                  <c:x val="-9.8219766728054013E-3"/>
                  <c:y val="-4.0609129841919278E-2"/>
                </c:manualLayout>
              </c:layout>
              <c:showLegendKey val="0"/>
              <c:showVal val="1"/>
              <c:showCatName val="0"/>
              <c:showSerName val="0"/>
              <c:showPercent val="0"/>
              <c:showBubbleSize val="0"/>
            </c:dLbl>
            <c:dLbl>
              <c:idx val="5"/>
              <c:layout>
                <c:manualLayout>
                  <c:x val="-1.4732965009208104E-2"/>
                  <c:y val="5.8657631993883408E-2"/>
                </c:manualLayout>
              </c:layout>
              <c:showLegendKey val="0"/>
              <c:showVal val="1"/>
              <c:showCatName val="0"/>
              <c:showSerName val="0"/>
              <c:showPercent val="0"/>
              <c:showBubbleSize val="0"/>
            </c:dLbl>
            <c:dLbl>
              <c:idx val="6"/>
              <c:layout>
                <c:manualLayout>
                  <c:x val="-9.003374608986514E-17"/>
                  <c:y val="1.8048502151964164E-2"/>
                </c:manualLayout>
              </c:layout>
              <c:showLegendKey val="0"/>
              <c:showVal val="1"/>
              <c:showCatName val="0"/>
              <c:showSerName val="0"/>
              <c:showPercent val="0"/>
              <c:showBubbleSize val="0"/>
            </c:dLbl>
            <c:txPr>
              <a:bodyPr/>
              <a:lstStyle/>
              <a:p>
                <a:pPr>
                  <a:defRPr sz="800"/>
                </a:pPr>
                <a:endParaRPr lang="sr-Latn-RS"/>
              </a:p>
            </c:txPr>
            <c:showLegendKey val="0"/>
            <c:showVal val="1"/>
            <c:showCatName val="0"/>
            <c:showSerName val="0"/>
            <c:showPercent val="0"/>
            <c:showBubbleSize val="0"/>
            <c:showLeaderLines val="0"/>
          </c:dLbls>
          <c:cat>
            <c:strRef>
              <c:f>'[BLOKADE_pregled od 2005. do 2012.xls]Pregled 2005_2012'!$B$21:$B$28</c:f>
              <c:strCache>
                <c:ptCount val="8"/>
                <c:pt idx="0">
                  <c:v>31.12.2005.</c:v>
                </c:pt>
                <c:pt idx="1">
                  <c:v>31.12.2006.</c:v>
                </c:pt>
                <c:pt idx="2">
                  <c:v>31.12.2007.</c:v>
                </c:pt>
                <c:pt idx="3">
                  <c:v>31.12.2008.</c:v>
                </c:pt>
                <c:pt idx="4">
                  <c:v>31.12.2009.</c:v>
                </c:pt>
                <c:pt idx="5">
                  <c:v> 31.12.2010.</c:v>
                </c:pt>
                <c:pt idx="6">
                  <c:v>31.12.2011.</c:v>
                </c:pt>
                <c:pt idx="7">
                  <c:v>31.08.2012.</c:v>
                </c:pt>
              </c:strCache>
            </c:strRef>
          </c:cat>
          <c:val>
            <c:numRef>
              <c:f>'[BLOKADE_pregled od 2005. do 2012.xls]Pregled 2005_2012'!$K$21:$K$28</c:f>
              <c:numCache>
                <c:formatCode>#,##0</c:formatCode>
                <c:ptCount val="8"/>
                <c:pt idx="0">
                  <c:v>1045</c:v>
                </c:pt>
                <c:pt idx="1">
                  <c:v>1306</c:v>
                </c:pt>
                <c:pt idx="2">
                  <c:v>1193</c:v>
                </c:pt>
                <c:pt idx="3">
                  <c:v>1078</c:v>
                </c:pt>
                <c:pt idx="4">
                  <c:v>1746</c:v>
                </c:pt>
                <c:pt idx="5">
                  <c:v>1905</c:v>
                </c:pt>
                <c:pt idx="6">
                  <c:v>1552</c:v>
                </c:pt>
                <c:pt idx="7">
                  <c:v>1568</c:v>
                </c:pt>
              </c:numCache>
            </c:numRef>
          </c:val>
          <c:smooth val="0"/>
        </c:ser>
        <c:dLbls>
          <c:showLegendKey val="0"/>
          <c:showVal val="0"/>
          <c:showCatName val="0"/>
          <c:showSerName val="0"/>
          <c:showPercent val="0"/>
          <c:showBubbleSize val="0"/>
        </c:dLbls>
        <c:marker val="1"/>
        <c:smooth val="0"/>
        <c:axId val="360912384"/>
        <c:axId val="360913920"/>
      </c:lineChart>
      <c:catAx>
        <c:axId val="360912384"/>
        <c:scaling>
          <c:orientation val="minMax"/>
        </c:scaling>
        <c:delete val="0"/>
        <c:axPos val="b"/>
        <c:majorTickMark val="out"/>
        <c:minorTickMark val="none"/>
        <c:tickLblPos val="nextTo"/>
        <c:txPr>
          <a:bodyPr/>
          <a:lstStyle/>
          <a:p>
            <a:pPr>
              <a:defRPr sz="800"/>
            </a:pPr>
            <a:endParaRPr lang="sr-Latn-RS"/>
          </a:p>
        </c:txPr>
        <c:crossAx val="360913920"/>
        <c:crosses val="autoZero"/>
        <c:auto val="1"/>
        <c:lblAlgn val="ctr"/>
        <c:lblOffset val="100"/>
        <c:noMultiLvlLbl val="0"/>
      </c:catAx>
      <c:valAx>
        <c:axId val="360913920"/>
        <c:scaling>
          <c:orientation val="minMax"/>
        </c:scaling>
        <c:delete val="0"/>
        <c:axPos val="l"/>
        <c:majorGridlines/>
        <c:numFmt formatCode="#,##0" sourceLinked="1"/>
        <c:majorTickMark val="out"/>
        <c:minorTickMark val="none"/>
        <c:tickLblPos val="nextTo"/>
        <c:txPr>
          <a:bodyPr/>
          <a:lstStyle/>
          <a:p>
            <a:pPr>
              <a:defRPr sz="900"/>
            </a:pPr>
            <a:endParaRPr lang="sr-Latn-RS"/>
          </a:p>
        </c:txPr>
        <c:crossAx val="360912384"/>
        <c:crosses val="autoZero"/>
        <c:crossBetween val="between"/>
      </c:valAx>
    </c:plotArea>
    <c:legend>
      <c:legendPos val="r"/>
      <c:layout>
        <c:manualLayout>
          <c:xMode val="edge"/>
          <c:yMode val="edge"/>
          <c:x val="0.77341579177602815"/>
          <c:y val="0.32561424613589962"/>
          <c:w val="0.22380643044619419"/>
          <c:h val="0.24691965587634876"/>
        </c:manualLayout>
      </c:layout>
      <c:overlay val="0"/>
      <c:txPr>
        <a:bodyPr/>
        <a:lstStyle/>
        <a:p>
          <a:pPr>
            <a:defRPr sz="800"/>
          </a:pPr>
          <a:endParaRPr lang="sr-Latn-RS"/>
        </a:p>
      </c:txPr>
    </c:legend>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hr-HR" sz="1000"/>
              <a:t>Ukupni </a:t>
            </a:r>
            <a:r>
              <a:rPr lang="en-US" sz="1000"/>
              <a:t>iznos duga</a:t>
            </a:r>
            <a:r>
              <a:rPr lang="hr-HR" sz="1000"/>
              <a:t> (blokade)</a:t>
            </a:r>
            <a:r>
              <a:rPr lang="en-US" sz="1000"/>
              <a:t> </a:t>
            </a:r>
            <a:r>
              <a:rPr lang="hr-HR" sz="1000"/>
              <a:t>poslovnih subjekata u Zadru, mln kn</a:t>
            </a:r>
            <a:endParaRPr lang="en-US" sz="1000"/>
          </a:p>
        </c:rich>
      </c:tx>
      <c:overlay val="0"/>
    </c:title>
    <c:autoTitleDeleted val="0"/>
    <c:plotArea>
      <c:layout>
        <c:manualLayout>
          <c:layoutTarget val="inner"/>
          <c:xMode val="edge"/>
          <c:yMode val="edge"/>
          <c:x val="0.13533573928258968"/>
          <c:y val="0.16239610673665791"/>
          <c:w val="0.65932961504811893"/>
          <c:h val="0.57319845435987171"/>
        </c:manualLayout>
      </c:layout>
      <c:lineChart>
        <c:grouping val="standard"/>
        <c:varyColors val="0"/>
        <c:ser>
          <c:idx val="0"/>
          <c:order val="0"/>
          <c:tx>
            <c:v>iznos duga iz osnove</c:v>
          </c:tx>
          <c:dLbls>
            <c:dLbl>
              <c:idx val="1"/>
              <c:delete val="1"/>
            </c:dLbl>
            <c:dLbl>
              <c:idx val="2"/>
              <c:delete val="1"/>
            </c:dLbl>
            <c:dLbl>
              <c:idx val="4"/>
              <c:delete val="1"/>
            </c:dLbl>
            <c:dLbl>
              <c:idx val="6"/>
              <c:delete val="1"/>
            </c:dLbl>
            <c:txPr>
              <a:bodyPr/>
              <a:lstStyle/>
              <a:p>
                <a:pPr>
                  <a:defRPr sz="800"/>
                </a:pPr>
                <a:endParaRPr lang="sr-Latn-RS"/>
              </a:p>
            </c:txPr>
            <c:showLegendKey val="0"/>
            <c:showVal val="1"/>
            <c:showCatName val="0"/>
            <c:showSerName val="0"/>
            <c:showPercent val="0"/>
            <c:showBubbleSize val="0"/>
            <c:showLeaderLines val="0"/>
          </c:dLbls>
          <c:cat>
            <c:strRef>
              <c:f>'[BLOKADE_pregled od 2005. do 2012.xls]Pregled 2005_2012'!$B$21:$B$28</c:f>
              <c:strCache>
                <c:ptCount val="8"/>
                <c:pt idx="0">
                  <c:v>31.12.2005.</c:v>
                </c:pt>
                <c:pt idx="1">
                  <c:v>31.12.2006.</c:v>
                </c:pt>
                <c:pt idx="2">
                  <c:v>31.12.2007.</c:v>
                </c:pt>
                <c:pt idx="3">
                  <c:v>31.12.2008.</c:v>
                </c:pt>
                <c:pt idx="4">
                  <c:v>31.12.2009.</c:v>
                </c:pt>
                <c:pt idx="5">
                  <c:v> 31.12.2010.</c:v>
                </c:pt>
                <c:pt idx="6">
                  <c:v>31.12.2011.</c:v>
                </c:pt>
                <c:pt idx="7">
                  <c:v>31.08.2012.</c:v>
                </c:pt>
              </c:strCache>
            </c:strRef>
          </c:cat>
          <c:val>
            <c:numRef>
              <c:f>'[BLOKADE_pregled od 2005. do 2012.xls]Pregled 2005_2012'!$M$21:$M$28</c:f>
              <c:numCache>
                <c:formatCode>#,##0</c:formatCode>
                <c:ptCount val="8"/>
                <c:pt idx="0">
                  <c:v>285492.94036000001</c:v>
                </c:pt>
                <c:pt idx="1">
                  <c:v>336851.95738000004</c:v>
                </c:pt>
                <c:pt idx="2">
                  <c:v>379836.71856999997</c:v>
                </c:pt>
                <c:pt idx="3">
                  <c:v>347507.12232999998</c:v>
                </c:pt>
                <c:pt idx="4">
                  <c:v>511611.54804000002</c:v>
                </c:pt>
                <c:pt idx="5">
                  <c:v>765684.51087999996</c:v>
                </c:pt>
                <c:pt idx="6">
                  <c:v>811781.64121999999</c:v>
                </c:pt>
                <c:pt idx="7">
                  <c:v>773985.47745000012</c:v>
                </c:pt>
              </c:numCache>
            </c:numRef>
          </c:val>
          <c:smooth val="0"/>
        </c:ser>
        <c:dLbls>
          <c:showLegendKey val="0"/>
          <c:showVal val="0"/>
          <c:showCatName val="0"/>
          <c:showSerName val="0"/>
          <c:showPercent val="0"/>
          <c:showBubbleSize val="0"/>
        </c:dLbls>
        <c:marker val="1"/>
        <c:smooth val="0"/>
        <c:axId val="362687488"/>
        <c:axId val="362550016"/>
      </c:lineChart>
      <c:catAx>
        <c:axId val="362687488"/>
        <c:scaling>
          <c:orientation val="minMax"/>
        </c:scaling>
        <c:delete val="0"/>
        <c:axPos val="b"/>
        <c:majorTickMark val="out"/>
        <c:minorTickMark val="none"/>
        <c:tickLblPos val="nextTo"/>
        <c:crossAx val="362550016"/>
        <c:crosses val="autoZero"/>
        <c:auto val="1"/>
        <c:lblAlgn val="ctr"/>
        <c:lblOffset val="100"/>
        <c:noMultiLvlLbl val="0"/>
      </c:catAx>
      <c:valAx>
        <c:axId val="362550016"/>
        <c:scaling>
          <c:orientation val="minMax"/>
        </c:scaling>
        <c:delete val="0"/>
        <c:axPos val="l"/>
        <c:majorGridlines/>
        <c:numFmt formatCode="#,##0" sourceLinked="1"/>
        <c:majorTickMark val="out"/>
        <c:minorTickMark val="none"/>
        <c:tickLblPos val="nextTo"/>
        <c:crossAx val="362687488"/>
        <c:crosses val="autoZero"/>
        <c:crossBetween val="between"/>
      </c:valAx>
    </c:plotArea>
    <c:legend>
      <c:legendPos val="r"/>
      <c:layout>
        <c:manualLayout>
          <c:xMode val="edge"/>
          <c:yMode val="edge"/>
          <c:x val="0.78355424321959755"/>
          <c:y val="0.2844725138524351"/>
          <c:w val="0.20811242344706909"/>
          <c:h val="0.32908756197142025"/>
        </c:manualLayout>
      </c:layout>
      <c:overlay val="0"/>
    </c:legend>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br.posl.subj.</c:v>
          </c:tx>
          <c:dLbls>
            <c:dLbl>
              <c:idx val="2"/>
              <c:delete val="1"/>
            </c:dLbl>
            <c:dLbl>
              <c:idx val="4"/>
              <c:delete val="1"/>
            </c:dLbl>
            <c:dLbl>
              <c:idx val="6"/>
              <c:delete val="1"/>
            </c:dLbl>
            <c:txPr>
              <a:bodyPr/>
              <a:lstStyle/>
              <a:p>
                <a:pPr>
                  <a:defRPr sz="900"/>
                </a:pPr>
                <a:endParaRPr lang="sr-Latn-RS"/>
              </a:p>
            </c:txPr>
            <c:showLegendKey val="0"/>
            <c:showVal val="1"/>
            <c:showCatName val="0"/>
            <c:showSerName val="0"/>
            <c:showPercent val="0"/>
            <c:showBubbleSize val="0"/>
            <c:showLeaderLines val="0"/>
          </c:dLbls>
          <c:cat>
            <c:strRef>
              <c:f>'MSP, blokade'!$B$150:$B$157</c:f>
              <c:strCache>
                <c:ptCount val="8"/>
                <c:pt idx="0">
                  <c:v>31.12.2005.</c:v>
                </c:pt>
                <c:pt idx="1">
                  <c:v>31.12.2006.</c:v>
                </c:pt>
                <c:pt idx="2">
                  <c:v>31.12.2007.</c:v>
                </c:pt>
                <c:pt idx="3">
                  <c:v>31.12.2008.</c:v>
                </c:pt>
                <c:pt idx="4">
                  <c:v>31.12.2009.</c:v>
                </c:pt>
                <c:pt idx="5">
                  <c:v> 31.12.2010.</c:v>
                </c:pt>
                <c:pt idx="6">
                  <c:v>31.12.2011.</c:v>
                </c:pt>
                <c:pt idx="7">
                  <c:v>31.08.2012.</c:v>
                </c:pt>
              </c:strCache>
            </c:strRef>
          </c:cat>
          <c:val>
            <c:numRef>
              <c:f>'MSP, blokade'!$D$150:$D$157</c:f>
              <c:numCache>
                <c:formatCode>#,##0.0</c:formatCode>
                <c:ptCount val="8"/>
                <c:pt idx="0">
                  <c:v>100</c:v>
                </c:pt>
                <c:pt idx="1">
                  <c:v>107.25416442772703</c:v>
                </c:pt>
                <c:pt idx="2">
                  <c:v>115.90542718968297</c:v>
                </c:pt>
                <c:pt idx="3">
                  <c:v>76.249328318108539</c:v>
                </c:pt>
                <c:pt idx="4">
                  <c:v>91.241268135411076</c:v>
                </c:pt>
                <c:pt idx="5">
                  <c:v>105.48092423428264</c:v>
                </c:pt>
                <c:pt idx="6">
                  <c:v>87.802256851155292</c:v>
                </c:pt>
                <c:pt idx="7">
                  <c:v>90.274046211714136</c:v>
                </c:pt>
              </c:numCache>
            </c:numRef>
          </c:val>
          <c:smooth val="0"/>
        </c:ser>
        <c:ser>
          <c:idx val="1"/>
          <c:order val="1"/>
          <c:tx>
            <c:v>br. zaposl.</c:v>
          </c:tx>
          <c:dLbls>
            <c:dLbl>
              <c:idx val="1"/>
              <c:delete val="1"/>
            </c:dLbl>
            <c:dLbl>
              <c:idx val="4"/>
              <c:delete val="1"/>
            </c:dLbl>
            <c:txPr>
              <a:bodyPr/>
              <a:lstStyle/>
              <a:p>
                <a:pPr>
                  <a:defRPr sz="900"/>
                </a:pPr>
                <a:endParaRPr lang="sr-Latn-RS"/>
              </a:p>
            </c:txPr>
            <c:showLegendKey val="0"/>
            <c:showVal val="1"/>
            <c:showCatName val="0"/>
            <c:showSerName val="0"/>
            <c:showPercent val="0"/>
            <c:showBubbleSize val="0"/>
            <c:showLeaderLines val="0"/>
          </c:dLbls>
          <c:cat>
            <c:strRef>
              <c:f>'MSP, blokade'!$B$150:$B$157</c:f>
              <c:strCache>
                <c:ptCount val="8"/>
                <c:pt idx="0">
                  <c:v>31.12.2005.</c:v>
                </c:pt>
                <c:pt idx="1">
                  <c:v>31.12.2006.</c:v>
                </c:pt>
                <c:pt idx="2">
                  <c:v>31.12.2007.</c:v>
                </c:pt>
                <c:pt idx="3">
                  <c:v>31.12.2008.</c:v>
                </c:pt>
                <c:pt idx="4">
                  <c:v>31.12.2009.</c:v>
                </c:pt>
                <c:pt idx="5">
                  <c:v> 31.12.2010.</c:v>
                </c:pt>
                <c:pt idx="6">
                  <c:v>31.12.2011.</c:v>
                </c:pt>
                <c:pt idx="7">
                  <c:v>31.08.2012.</c:v>
                </c:pt>
              </c:strCache>
            </c:strRef>
          </c:cat>
          <c:val>
            <c:numRef>
              <c:f>'MSP, blokade'!$F$150:$F$157</c:f>
              <c:numCache>
                <c:formatCode>#,##0.0</c:formatCode>
                <c:ptCount val="8"/>
                <c:pt idx="0">
                  <c:v>100</c:v>
                </c:pt>
                <c:pt idx="1">
                  <c:v>124.97607655502392</c:v>
                </c:pt>
                <c:pt idx="2">
                  <c:v>114.16267942583731</c:v>
                </c:pt>
                <c:pt idx="3">
                  <c:v>103.15789473684211</c:v>
                </c:pt>
                <c:pt idx="4">
                  <c:v>167.08133971291866</c:v>
                </c:pt>
                <c:pt idx="5">
                  <c:v>182.29665071770336</c:v>
                </c:pt>
                <c:pt idx="6">
                  <c:v>148.51674641148324</c:v>
                </c:pt>
                <c:pt idx="7">
                  <c:v>150.04784688995215</c:v>
                </c:pt>
              </c:numCache>
            </c:numRef>
          </c:val>
          <c:smooth val="0"/>
        </c:ser>
        <c:ser>
          <c:idx val="2"/>
          <c:order val="2"/>
          <c:tx>
            <c:v>Iznos duga</c:v>
          </c:tx>
          <c:dLbls>
            <c:dLbl>
              <c:idx val="1"/>
              <c:delete val="1"/>
            </c:dLbl>
            <c:dLbl>
              <c:idx val="3"/>
              <c:layout>
                <c:manualLayout>
                  <c:x val="-1.4234875444839814E-2"/>
                  <c:y val="-7.1974798619330671E-3"/>
                </c:manualLayout>
              </c:layout>
              <c:showLegendKey val="0"/>
              <c:showVal val="1"/>
              <c:showCatName val="0"/>
              <c:showSerName val="0"/>
              <c:showPercent val="0"/>
              <c:showBubbleSize val="0"/>
            </c:dLbl>
            <c:dLbl>
              <c:idx val="4"/>
              <c:delete val="1"/>
            </c:dLbl>
            <c:txPr>
              <a:bodyPr/>
              <a:lstStyle/>
              <a:p>
                <a:pPr>
                  <a:defRPr sz="900"/>
                </a:pPr>
                <a:endParaRPr lang="sr-Latn-RS"/>
              </a:p>
            </c:txPr>
            <c:showLegendKey val="0"/>
            <c:showVal val="1"/>
            <c:showCatName val="0"/>
            <c:showSerName val="0"/>
            <c:showPercent val="0"/>
            <c:showBubbleSize val="0"/>
            <c:showLeaderLines val="0"/>
          </c:dLbls>
          <c:cat>
            <c:strRef>
              <c:f>'MSP, blokade'!$B$150:$B$157</c:f>
              <c:strCache>
                <c:ptCount val="8"/>
                <c:pt idx="0">
                  <c:v>31.12.2005.</c:v>
                </c:pt>
                <c:pt idx="1">
                  <c:v>31.12.2006.</c:v>
                </c:pt>
                <c:pt idx="2">
                  <c:v>31.12.2007.</c:v>
                </c:pt>
                <c:pt idx="3">
                  <c:v>31.12.2008.</c:v>
                </c:pt>
                <c:pt idx="4">
                  <c:v>31.12.2009.</c:v>
                </c:pt>
                <c:pt idx="5">
                  <c:v> 31.12.2010.</c:v>
                </c:pt>
                <c:pt idx="6">
                  <c:v>31.12.2011.</c:v>
                </c:pt>
                <c:pt idx="7">
                  <c:v>31.08.2012.</c:v>
                </c:pt>
              </c:strCache>
            </c:strRef>
          </c:cat>
          <c:val>
            <c:numRef>
              <c:f>'MSP, blokade'!$H$150:$H$157</c:f>
              <c:numCache>
                <c:formatCode>#,##0.0</c:formatCode>
                <c:ptCount val="8"/>
                <c:pt idx="0">
                  <c:v>99.999979109820558</c:v>
                </c:pt>
                <c:pt idx="1">
                  <c:v>117.98956800341867</c:v>
                </c:pt>
                <c:pt idx="2">
                  <c:v>133.04589554560005</c:v>
                </c:pt>
                <c:pt idx="3">
                  <c:v>121.72176632351757</c:v>
                </c:pt>
                <c:pt idx="4">
                  <c:v>179.20283440924999</c:v>
                </c:pt>
                <c:pt idx="5">
                  <c:v>268.19729761500281</c:v>
                </c:pt>
                <c:pt idx="6">
                  <c:v>284.34379869909242</c:v>
                </c:pt>
                <c:pt idx="7">
                  <c:v>271.10488784313452</c:v>
                </c:pt>
              </c:numCache>
            </c:numRef>
          </c:val>
          <c:smooth val="0"/>
        </c:ser>
        <c:dLbls>
          <c:showLegendKey val="0"/>
          <c:showVal val="0"/>
          <c:showCatName val="0"/>
          <c:showSerName val="0"/>
          <c:showPercent val="0"/>
          <c:showBubbleSize val="0"/>
        </c:dLbls>
        <c:marker val="1"/>
        <c:smooth val="0"/>
        <c:axId val="362962304"/>
        <c:axId val="362976384"/>
      </c:lineChart>
      <c:catAx>
        <c:axId val="362962304"/>
        <c:scaling>
          <c:orientation val="minMax"/>
        </c:scaling>
        <c:delete val="0"/>
        <c:axPos val="b"/>
        <c:majorTickMark val="out"/>
        <c:minorTickMark val="none"/>
        <c:tickLblPos val="nextTo"/>
        <c:crossAx val="362976384"/>
        <c:crosses val="autoZero"/>
        <c:auto val="1"/>
        <c:lblAlgn val="ctr"/>
        <c:lblOffset val="100"/>
        <c:noMultiLvlLbl val="0"/>
      </c:catAx>
      <c:valAx>
        <c:axId val="362976384"/>
        <c:scaling>
          <c:orientation val="minMax"/>
        </c:scaling>
        <c:delete val="0"/>
        <c:axPos val="l"/>
        <c:majorGridlines/>
        <c:numFmt formatCode="#,##0.0" sourceLinked="1"/>
        <c:majorTickMark val="out"/>
        <c:minorTickMark val="none"/>
        <c:tickLblPos val="nextTo"/>
        <c:crossAx val="362962304"/>
        <c:crosses val="autoZero"/>
        <c:crossBetween val="between"/>
      </c:valAx>
    </c:plotArea>
    <c:legend>
      <c:legendPos val="r"/>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900"/>
            </a:pPr>
            <a:r>
              <a:rPr lang="hr-HR" sz="900"/>
              <a:t>Odnos trgovačkih društava i obrta u ZŽ</a:t>
            </a:r>
          </a:p>
        </c:rich>
      </c:tx>
      <c:overlay val="1"/>
    </c:title>
    <c:autoTitleDeleted val="0"/>
    <c:plotArea>
      <c:layout>
        <c:manualLayout>
          <c:layoutTarget val="inner"/>
          <c:xMode val="edge"/>
          <c:yMode val="edge"/>
          <c:x val="0.18231035609512197"/>
          <c:y val="0.14576099674287701"/>
          <c:w val="0.57542936108251486"/>
          <c:h val="0.75742562412256609"/>
        </c:manualLayout>
      </c:layout>
      <c:doughnutChart>
        <c:varyColors val="1"/>
        <c:ser>
          <c:idx val="0"/>
          <c:order val="0"/>
          <c:dPt>
            <c:idx val="0"/>
            <c:bubble3D val="0"/>
          </c:dPt>
          <c:dLbls>
            <c:txPr>
              <a:bodyPr/>
              <a:lstStyle/>
              <a:p>
                <a:pPr>
                  <a:defRPr sz="900"/>
                </a:pPr>
                <a:endParaRPr lang="sr-Latn-RS"/>
              </a:p>
            </c:txPr>
            <c:showLegendKey val="0"/>
            <c:showVal val="1"/>
            <c:showCatName val="0"/>
            <c:showSerName val="0"/>
            <c:showPercent val="0"/>
            <c:showBubbleSize val="0"/>
            <c:showLeaderLines val="1"/>
          </c:dLbls>
          <c:cat>
            <c:strRef>
              <c:f>'[Tržište rada, LQ, shift share.xlsx]Obrti'!$H$34:$H$35</c:f>
              <c:strCache>
                <c:ptCount val="2"/>
                <c:pt idx="0">
                  <c:v>TD </c:v>
                </c:pt>
                <c:pt idx="1">
                  <c:v>OBRT</c:v>
                </c:pt>
              </c:strCache>
            </c:strRef>
          </c:cat>
          <c:val>
            <c:numRef>
              <c:f>'[Tržište rada, LQ, shift share.xlsx]Obrti'!$J$34:$J$35</c:f>
              <c:numCache>
                <c:formatCode>0.00%</c:formatCode>
                <c:ptCount val="2"/>
                <c:pt idx="0">
                  <c:v>0.40500000000000003</c:v>
                </c:pt>
                <c:pt idx="1">
                  <c:v>0.59499999999999997</c:v>
                </c:pt>
              </c:numCache>
            </c:numRef>
          </c:val>
        </c:ser>
        <c:dLbls>
          <c:showLegendKey val="0"/>
          <c:showVal val="1"/>
          <c:showCatName val="0"/>
          <c:showSerName val="0"/>
          <c:showPercent val="0"/>
          <c:showBubbleSize val="0"/>
          <c:showLeaderLines val="1"/>
        </c:dLbls>
        <c:firstSliceAng val="0"/>
        <c:holeSize val="50"/>
      </c:doughnutChart>
    </c:plotArea>
    <c:legend>
      <c:legendPos val="r"/>
      <c:overlay val="0"/>
      <c:txPr>
        <a:bodyPr/>
        <a:lstStyle/>
        <a:p>
          <a:pPr>
            <a:defRPr sz="900"/>
          </a:pPr>
          <a:endParaRPr lang="sr-Latn-RS"/>
        </a:p>
      </c:txPr>
    </c:legend>
    <c:plotVisOnly val="1"/>
    <c:dispBlanksAs val="gap"/>
    <c:showDLblsOverMax val="0"/>
  </c:chart>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sz="900"/>
            </a:pPr>
            <a:r>
              <a:rPr lang="hr-HR" sz="900"/>
              <a:t>Odnos trgovačkih društava i obrta u RH</a:t>
            </a:r>
          </a:p>
        </c:rich>
      </c:tx>
      <c:overlay val="1"/>
    </c:title>
    <c:autoTitleDeleted val="0"/>
    <c:plotArea>
      <c:layout/>
      <c:doughnutChart>
        <c:varyColors val="1"/>
        <c:ser>
          <c:idx val="0"/>
          <c:order val="0"/>
          <c:dLbls>
            <c:txPr>
              <a:bodyPr/>
              <a:lstStyle/>
              <a:p>
                <a:pPr>
                  <a:defRPr sz="900"/>
                </a:pPr>
                <a:endParaRPr lang="sr-Latn-RS"/>
              </a:p>
            </c:txPr>
            <c:showLegendKey val="0"/>
            <c:showVal val="1"/>
            <c:showCatName val="0"/>
            <c:showSerName val="0"/>
            <c:showPercent val="0"/>
            <c:showBubbleSize val="0"/>
            <c:showLeaderLines val="1"/>
          </c:dLbls>
          <c:cat>
            <c:strRef>
              <c:f>'[Tržište rada, LQ, shift share.xlsx]Obrti'!$H$34:$H$35</c:f>
              <c:strCache>
                <c:ptCount val="2"/>
                <c:pt idx="0">
                  <c:v>TD </c:v>
                </c:pt>
                <c:pt idx="1">
                  <c:v>OBRT</c:v>
                </c:pt>
              </c:strCache>
            </c:strRef>
          </c:cat>
          <c:val>
            <c:numRef>
              <c:f>'[Tržište rada, LQ, shift share.xlsx]Obrti'!$K$34:$K$35</c:f>
              <c:numCache>
                <c:formatCode>0.00%</c:formatCode>
                <c:ptCount val="2"/>
                <c:pt idx="0">
                  <c:v>0.55800000000000005</c:v>
                </c:pt>
                <c:pt idx="1">
                  <c:v>0.442</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txPr>
        <a:bodyPr/>
        <a:lstStyle/>
        <a:p>
          <a:pPr>
            <a:defRPr sz="900"/>
          </a:pPr>
          <a:endParaRPr lang="sr-Latn-RS"/>
        </a:p>
      </c:txPr>
    </c:legend>
    <c:plotVisOnly val="1"/>
    <c:dispBlanksAs val="gap"/>
    <c:showDLblsOverMax val="0"/>
  </c:chart>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Obrti!$E$35</c:f>
              <c:strCache>
                <c:ptCount val="1"/>
                <c:pt idx="0">
                  <c:v>ZŽ</c:v>
                </c:pt>
              </c:strCache>
            </c:strRef>
          </c:tx>
          <c:dLbls>
            <c:txPr>
              <a:bodyPr/>
              <a:lstStyle/>
              <a:p>
                <a:pPr>
                  <a:defRPr sz="900"/>
                </a:pPr>
                <a:endParaRPr lang="sr-Latn-RS"/>
              </a:p>
            </c:txPr>
            <c:showLegendKey val="0"/>
            <c:showVal val="1"/>
            <c:showCatName val="0"/>
            <c:showSerName val="0"/>
            <c:showPercent val="0"/>
            <c:showBubbleSize val="0"/>
            <c:showLeaderLines val="0"/>
          </c:dLbls>
          <c:cat>
            <c:strRef>
              <c:f>Obrti!$B$36:$B$41</c:f>
              <c:strCache>
                <c:ptCount val="6"/>
                <c:pt idx="0">
                  <c:v>2006.</c:v>
                </c:pt>
                <c:pt idx="1">
                  <c:v>2007.</c:v>
                </c:pt>
                <c:pt idx="2">
                  <c:v>2008.</c:v>
                </c:pt>
                <c:pt idx="3">
                  <c:v>2009.</c:v>
                </c:pt>
                <c:pt idx="4">
                  <c:v>2010.</c:v>
                </c:pt>
                <c:pt idx="5">
                  <c:v>2011.</c:v>
                </c:pt>
              </c:strCache>
            </c:strRef>
          </c:cat>
          <c:val>
            <c:numRef>
              <c:f>Obrti!$E$36:$E$41</c:f>
              <c:numCache>
                <c:formatCode>0.0</c:formatCode>
                <c:ptCount val="6"/>
                <c:pt idx="0" formatCode="General">
                  <c:v>100</c:v>
                </c:pt>
                <c:pt idx="1">
                  <c:v>101.08797598949539</c:v>
                </c:pt>
                <c:pt idx="2">
                  <c:v>99.287188144813356</c:v>
                </c:pt>
                <c:pt idx="3">
                  <c:v>93.340836616019502</c:v>
                </c:pt>
                <c:pt idx="4">
                  <c:v>90.695929469142754</c:v>
                </c:pt>
                <c:pt idx="5">
                  <c:v>89.833051960232595</c:v>
                </c:pt>
              </c:numCache>
            </c:numRef>
          </c:val>
          <c:smooth val="0"/>
        </c:ser>
        <c:ser>
          <c:idx val="1"/>
          <c:order val="1"/>
          <c:tx>
            <c:strRef>
              <c:f>Obrti!$F$35</c:f>
              <c:strCache>
                <c:ptCount val="1"/>
                <c:pt idx="0">
                  <c:v>RH</c:v>
                </c:pt>
              </c:strCache>
            </c:strRef>
          </c:tx>
          <c:dLbls>
            <c:txPr>
              <a:bodyPr/>
              <a:lstStyle/>
              <a:p>
                <a:pPr>
                  <a:defRPr sz="900"/>
                </a:pPr>
                <a:endParaRPr lang="sr-Latn-RS"/>
              </a:p>
            </c:txPr>
            <c:showLegendKey val="0"/>
            <c:showVal val="1"/>
            <c:showCatName val="0"/>
            <c:showSerName val="0"/>
            <c:showPercent val="0"/>
            <c:showBubbleSize val="0"/>
            <c:showLeaderLines val="0"/>
          </c:dLbls>
          <c:cat>
            <c:strRef>
              <c:f>Obrti!$B$36:$B$41</c:f>
              <c:strCache>
                <c:ptCount val="6"/>
                <c:pt idx="0">
                  <c:v>2006.</c:v>
                </c:pt>
                <c:pt idx="1">
                  <c:v>2007.</c:v>
                </c:pt>
                <c:pt idx="2">
                  <c:v>2008.</c:v>
                </c:pt>
                <c:pt idx="3">
                  <c:v>2009.</c:v>
                </c:pt>
                <c:pt idx="4">
                  <c:v>2010.</c:v>
                </c:pt>
                <c:pt idx="5">
                  <c:v>2011.</c:v>
                </c:pt>
              </c:strCache>
            </c:strRef>
          </c:cat>
          <c:val>
            <c:numRef>
              <c:f>Obrti!$F$36:$F$41</c:f>
              <c:numCache>
                <c:formatCode>0.0</c:formatCode>
                <c:ptCount val="6"/>
                <c:pt idx="0" formatCode="General">
                  <c:v>100</c:v>
                </c:pt>
                <c:pt idx="1">
                  <c:v>99.484545996576458</c:v>
                </c:pt>
                <c:pt idx="2">
                  <c:v>96.914007654876627</c:v>
                </c:pt>
                <c:pt idx="3">
                  <c:v>89.401457888561922</c:v>
                </c:pt>
                <c:pt idx="4">
                  <c:v>84.953743773200245</c:v>
                </c:pt>
                <c:pt idx="5">
                  <c:v>83.111188044544463</c:v>
                </c:pt>
              </c:numCache>
            </c:numRef>
          </c:val>
          <c:smooth val="0"/>
        </c:ser>
        <c:dLbls>
          <c:showLegendKey val="0"/>
          <c:showVal val="0"/>
          <c:showCatName val="0"/>
          <c:showSerName val="0"/>
          <c:showPercent val="0"/>
          <c:showBubbleSize val="0"/>
        </c:dLbls>
        <c:marker val="1"/>
        <c:smooth val="0"/>
        <c:axId val="363388928"/>
        <c:axId val="363390464"/>
      </c:lineChart>
      <c:catAx>
        <c:axId val="363388928"/>
        <c:scaling>
          <c:orientation val="minMax"/>
        </c:scaling>
        <c:delete val="0"/>
        <c:axPos val="b"/>
        <c:majorTickMark val="out"/>
        <c:minorTickMark val="none"/>
        <c:tickLblPos val="nextTo"/>
        <c:crossAx val="363390464"/>
        <c:crosses val="autoZero"/>
        <c:auto val="1"/>
        <c:lblAlgn val="ctr"/>
        <c:lblOffset val="100"/>
        <c:noMultiLvlLbl val="0"/>
      </c:catAx>
      <c:valAx>
        <c:axId val="363390464"/>
        <c:scaling>
          <c:orientation val="minMax"/>
          <c:min val="80"/>
        </c:scaling>
        <c:delete val="0"/>
        <c:axPos val="l"/>
        <c:majorGridlines/>
        <c:numFmt formatCode="General" sourceLinked="1"/>
        <c:majorTickMark val="out"/>
        <c:minorTickMark val="none"/>
        <c:tickLblPos val="nextTo"/>
        <c:crossAx val="363388928"/>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hr-HR" sz="1100"/>
              <a:t>Stopa nezaposlenosti po godinama i gradovima</a:t>
            </a:r>
          </a:p>
        </c:rich>
      </c:tx>
      <c:overlay val="0"/>
    </c:title>
    <c:autoTitleDeleted val="0"/>
    <c:plotArea>
      <c:layout/>
      <c:lineChart>
        <c:grouping val="standard"/>
        <c:varyColors val="0"/>
        <c:ser>
          <c:idx val="0"/>
          <c:order val="0"/>
          <c:tx>
            <c:strRef>
              <c:f>List1!$C$170</c:f>
              <c:strCache>
                <c:ptCount val="1"/>
                <c:pt idx="0">
                  <c:v>Zadar</c:v>
                </c:pt>
              </c:strCache>
            </c:strRef>
          </c:tx>
          <c:marker>
            <c:symbol val="none"/>
          </c:marker>
          <c:dLbls>
            <c:numFmt formatCode="#,##0.0" sourceLinked="0"/>
            <c:txPr>
              <a:bodyPr/>
              <a:lstStyle/>
              <a:p>
                <a:pPr>
                  <a:defRPr sz="800"/>
                </a:pPr>
                <a:endParaRPr lang="sr-Latn-RS"/>
              </a:p>
            </c:txPr>
            <c:showLegendKey val="0"/>
            <c:showVal val="1"/>
            <c:showCatName val="0"/>
            <c:showSerName val="0"/>
            <c:showPercent val="0"/>
            <c:showBubbleSize val="0"/>
            <c:showLeaderLines val="0"/>
          </c:dLbls>
          <c:cat>
            <c:strRef>
              <c:f>List1!$B$171:$B$181</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List1!$C$171:$C$181</c:f>
              <c:numCache>
                <c:formatCode>0.00</c:formatCode>
                <c:ptCount val="11"/>
                <c:pt idx="0">
                  <c:v>20.360936015888093</c:v>
                </c:pt>
                <c:pt idx="1">
                  <c:v>19.994322214336407</c:v>
                </c:pt>
                <c:pt idx="2">
                  <c:v>16.460333875018467</c:v>
                </c:pt>
                <c:pt idx="3">
                  <c:v>16.113303923844903</c:v>
                </c:pt>
                <c:pt idx="4">
                  <c:v>14.368943239501617</c:v>
                </c:pt>
                <c:pt idx="5">
                  <c:v>14.141808745151661</c:v>
                </c:pt>
                <c:pt idx="6">
                  <c:v>11.3705089436728</c:v>
                </c:pt>
                <c:pt idx="7">
                  <c:v>10.222155131204872</c:v>
                </c:pt>
                <c:pt idx="8">
                  <c:v>12.113851992409867</c:v>
                </c:pt>
                <c:pt idx="9">
                  <c:v>12.764524568083507</c:v>
                </c:pt>
                <c:pt idx="10">
                  <c:v>12.369842636812026</c:v>
                </c:pt>
              </c:numCache>
            </c:numRef>
          </c:val>
          <c:smooth val="0"/>
        </c:ser>
        <c:ser>
          <c:idx val="1"/>
          <c:order val="1"/>
          <c:tx>
            <c:strRef>
              <c:f>List1!$D$170</c:f>
              <c:strCache>
                <c:ptCount val="1"/>
                <c:pt idx="0">
                  <c:v> Pula</c:v>
                </c:pt>
              </c:strCache>
            </c:strRef>
          </c:tx>
          <c:marker>
            <c:symbol val="none"/>
          </c:marker>
          <c:cat>
            <c:strRef>
              <c:f>List1!$B$171:$B$181</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List1!$D$171:$D$181</c:f>
              <c:numCache>
                <c:formatCode>0.00</c:formatCode>
                <c:ptCount val="11"/>
                <c:pt idx="0">
                  <c:v>11.745457945090218</c:v>
                </c:pt>
                <c:pt idx="1">
                  <c:v>8.7595907928388748</c:v>
                </c:pt>
                <c:pt idx="2">
                  <c:v>6.9355046343975282</c:v>
                </c:pt>
                <c:pt idx="3">
                  <c:v>7.4337106528143906</c:v>
                </c:pt>
                <c:pt idx="4">
                  <c:v>6.8944681108190577</c:v>
                </c:pt>
                <c:pt idx="5">
                  <c:v>6.5968180054326737</c:v>
                </c:pt>
                <c:pt idx="6">
                  <c:v>5.569564133115354</c:v>
                </c:pt>
                <c:pt idx="7">
                  <c:v>5.191309363583926</c:v>
                </c:pt>
                <c:pt idx="8">
                  <c:v>7.8379054448428258</c:v>
                </c:pt>
                <c:pt idx="9">
                  <c:v>8.6177646145440949</c:v>
                </c:pt>
                <c:pt idx="10">
                  <c:v>8.4634818557648135</c:v>
                </c:pt>
              </c:numCache>
            </c:numRef>
          </c:val>
          <c:smooth val="0"/>
        </c:ser>
        <c:ser>
          <c:idx val="2"/>
          <c:order val="2"/>
          <c:tx>
            <c:strRef>
              <c:f>List1!$E$170</c:f>
              <c:strCache>
                <c:ptCount val="1"/>
                <c:pt idx="0">
                  <c:v>Rijeka</c:v>
                </c:pt>
              </c:strCache>
            </c:strRef>
          </c:tx>
          <c:marker>
            <c:symbol val="none"/>
          </c:marker>
          <c:cat>
            <c:strRef>
              <c:f>List1!$B$171:$B$181</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List1!$E$171:$E$181</c:f>
              <c:numCache>
                <c:formatCode>0.00</c:formatCode>
                <c:ptCount val="11"/>
                <c:pt idx="0">
                  <c:v>15.688772292712457</c:v>
                </c:pt>
                <c:pt idx="1">
                  <c:v>13.839841467442394</c:v>
                </c:pt>
                <c:pt idx="2">
                  <c:v>12.344430217669654</c:v>
                </c:pt>
                <c:pt idx="3">
                  <c:v>11.921776059812323</c:v>
                </c:pt>
                <c:pt idx="4">
                  <c:v>11.265046559164206</c:v>
                </c:pt>
                <c:pt idx="5">
                  <c:v>10.272777833956921</c:v>
                </c:pt>
                <c:pt idx="6">
                  <c:v>8.7826921135009588</c:v>
                </c:pt>
                <c:pt idx="7">
                  <c:v>8.3869511231515972</c:v>
                </c:pt>
                <c:pt idx="8">
                  <c:v>10.772118921127911</c:v>
                </c:pt>
                <c:pt idx="9">
                  <c:v>12.299325076993643</c:v>
                </c:pt>
                <c:pt idx="10">
                  <c:v>11.989245880693161</c:v>
                </c:pt>
              </c:numCache>
            </c:numRef>
          </c:val>
          <c:smooth val="0"/>
        </c:ser>
        <c:ser>
          <c:idx val="3"/>
          <c:order val="3"/>
          <c:tx>
            <c:strRef>
              <c:f>List1!$F$170</c:f>
              <c:strCache>
                <c:ptCount val="1"/>
                <c:pt idx="0">
                  <c:v>Split</c:v>
                </c:pt>
              </c:strCache>
            </c:strRef>
          </c:tx>
          <c:marker>
            <c:symbol val="none"/>
          </c:marker>
          <c:cat>
            <c:strRef>
              <c:f>List1!$B$171:$B$181</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List1!$F$171:$F$181</c:f>
              <c:numCache>
                <c:formatCode>0.00</c:formatCode>
                <c:ptCount val="11"/>
                <c:pt idx="0">
                  <c:v>22.92542242044772</c:v>
                </c:pt>
                <c:pt idx="1">
                  <c:v>21.089504076086957</c:v>
                </c:pt>
                <c:pt idx="2">
                  <c:v>18.948278771515355</c:v>
                </c:pt>
                <c:pt idx="3">
                  <c:v>18.322890253358199</c:v>
                </c:pt>
                <c:pt idx="4">
                  <c:v>17.040538870349771</c:v>
                </c:pt>
                <c:pt idx="5">
                  <c:v>15.871250733636055</c:v>
                </c:pt>
                <c:pt idx="6">
                  <c:v>13.357556712167337</c:v>
                </c:pt>
                <c:pt idx="7">
                  <c:v>12.031240915521618</c:v>
                </c:pt>
                <c:pt idx="8">
                  <c:v>13.795370470312331</c:v>
                </c:pt>
                <c:pt idx="9">
                  <c:v>15.7389087401195</c:v>
                </c:pt>
                <c:pt idx="10">
                  <c:v>16.574910366176212</c:v>
                </c:pt>
              </c:numCache>
            </c:numRef>
          </c:val>
          <c:smooth val="0"/>
        </c:ser>
        <c:ser>
          <c:idx val="4"/>
          <c:order val="4"/>
          <c:tx>
            <c:strRef>
              <c:f>List1!$G$170</c:f>
              <c:strCache>
                <c:ptCount val="1"/>
                <c:pt idx="0">
                  <c:v>Dubrovnik</c:v>
                </c:pt>
              </c:strCache>
            </c:strRef>
          </c:tx>
          <c:spPr>
            <a:ln>
              <a:solidFill>
                <a:srgbClr val="002060"/>
              </a:solidFill>
            </a:ln>
          </c:spPr>
          <c:marker>
            <c:symbol val="none"/>
          </c:marker>
          <c:cat>
            <c:strRef>
              <c:f>List1!$B$171:$B$181</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List1!$G$171:$G$181</c:f>
              <c:numCache>
                <c:formatCode>0.00</c:formatCode>
                <c:ptCount val="11"/>
                <c:pt idx="0">
                  <c:v>19.740850193225732</c:v>
                </c:pt>
                <c:pt idx="1">
                  <c:v>16.749884419787335</c:v>
                </c:pt>
                <c:pt idx="2">
                  <c:v>13.68336937106327</c:v>
                </c:pt>
                <c:pt idx="3">
                  <c:v>12.823932926829269</c:v>
                </c:pt>
                <c:pt idx="4">
                  <c:v>11.616727340614206</c:v>
                </c:pt>
                <c:pt idx="5">
                  <c:v>11.489811876178649</c:v>
                </c:pt>
                <c:pt idx="6">
                  <c:v>9.0511136861078931</c:v>
                </c:pt>
                <c:pt idx="7">
                  <c:v>7.7967092625073082</c:v>
                </c:pt>
                <c:pt idx="8">
                  <c:v>10.05971520440974</c:v>
                </c:pt>
                <c:pt idx="9">
                  <c:v>10.654380228459807</c:v>
                </c:pt>
                <c:pt idx="10">
                  <c:v>9.5469323987670478</c:v>
                </c:pt>
              </c:numCache>
            </c:numRef>
          </c:val>
          <c:smooth val="0"/>
        </c:ser>
        <c:dLbls>
          <c:showLegendKey val="0"/>
          <c:showVal val="0"/>
          <c:showCatName val="0"/>
          <c:showSerName val="0"/>
          <c:showPercent val="0"/>
          <c:showBubbleSize val="0"/>
        </c:dLbls>
        <c:marker val="1"/>
        <c:smooth val="0"/>
        <c:axId val="330163712"/>
        <c:axId val="330165248"/>
      </c:lineChart>
      <c:catAx>
        <c:axId val="330163712"/>
        <c:scaling>
          <c:orientation val="minMax"/>
        </c:scaling>
        <c:delete val="0"/>
        <c:axPos val="b"/>
        <c:majorTickMark val="none"/>
        <c:minorTickMark val="none"/>
        <c:tickLblPos val="nextTo"/>
        <c:crossAx val="330165248"/>
        <c:crosses val="autoZero"/>
        <c:auto val="1"/>
        <c:lblAlgn val="ctr"/>
        <c:lblOffset val="100"/>
        <c:noMultiLvlLbl val="0"/>
      </c:catAx>
      <c:valAx>
        <c:axId val="330165248"/>
        <c:scaling>
          <c:orientation val="minMax"/>
        </c:scaling>
        <c:delete val="0"/>
        <c:axPos val="l"/>
        <c:majorGridlines/>
        <c:title>
          <c:tx>
            <c:rich>
              <a:bodyPr/>
              <a:lstStyle/>
              <a:p>
                <a:pPr>
                  <a:defRPr/>
                </a:pPr>
                <a:r>
                  <a:rPr lang="hr-HR"/>
                  <a:t>Stopa nezaposlenosti</a:t>
                </a:r>
              </a:p>
            </c:rich>
          </c:tx>
          <c:overlay val="0"/>
        </c:title>
        <c:numFmt formatCode="0.00" sourceLinked="1"/>
        <c:majorTickMark val="none"/>
        <c:minorTickMark val="none"/>
        <c:tickLblPos val="nextTo"/>
        <c:crossAx val="330163712"/>
        <c:crosses val="autoZero"/>
        <c:crossBetween val="between"/>
      </c:valAx>
      <c:dTable>
        <c:showHorzBorder val="1"/>
        <c:showVertBorder val="1"/>
        <c:showOutline val="1"/>
        <c:showKeys val="1"/>
      </c:dTable>
    </c:plotArea>
    <c:plotVisOnly val="1"/>
    <c:dispBlanksAs val="zero"/>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Obrti!$C$16</c:f>
              <c:strCache>
                <c:ptCount val="1"/>
                <c:pt idx="0">
                  <c:v>Zadar</c:v>
                </c:pt>
              </c:strCache>
            </c:strRef>
          </c:tx>
          <c:spPr>
            <a:ln>
              <a:prstDash val="sysDash"/>
            </a:ln>
          </c:spPr>
          <c:marker>
            <c:symbol val="none"/>
          </c:marker>
          <c:dLbls>
            <c:txPr>
              <a:bodyPr/>
              <a:lstStyle/>
              <a:p>
                <a:pPr>
                  <a:defRPr sz="800"/>
                </a:pPr>
                <a:endParaRPr lang="sr-Latn-RS"/>
              </a:p>
            </c:txPr>
            <c:showLegendKey val="0"/>
            <c:showVal val="1"/>
            <c:showCatName val="0"/>
            <c:showSerName val="0"/>
            <c:showPercent val="0"/>
            <c:showBubbleSize val="0"/>
            <c:showLeaderLines val="0"/>
          </c:dLbls>
          <c:cat>
            <c:strRef>
              <c:f>Obrti!$B$17:$B$27</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Obrti!$C$17:$C$27</c:f>
              <c:numCache>
                <c:formatCode>0.0</c:formatCode>
                <c:ptCount val="11"/>
                <c:pt idx="0">
                  <c:v>100</c:v>
                </c:pt>
                <c:pt idx="1">
                  <c:v>105.38548752834467</c:v>
                </c:pt>
                <c:pt idx="2">
                  <c:v>110.20408163265304</c:v>
                </c:pt>
                <c:pt idx="3">
                  <c:v>115.24943310657596</c:v>
                </c:pt>
                <c:pt idx="4">
                  <c:v>117.46031746031747</c:v>
                </c:pt>
                <c:pt idx="5">
                  <c:v>115.81632653061224</c:v>
                </c:pt>
                <c:pt idx="6">
                  <c:v>115.1360544217687</c:v>
                </c:pt>
                <c:pt idx="7">
                  <c:v>111.73469387755102</c:v>
                </c:pt>
                <c:pt idx="8">
                  <c:v>105.15873015873017</c:v>
                </c:pt>
                <c:pt idx="9">
                  <c:v>100.34013605442176</c:v>
                </c:pt>
                <c:pt idx="10">
                  <c:v>97.392290249433117</c:v>
                </c:pt>
              </c:numCache>
            </c:numRef>
          </c:val>
          <c:smooth val="0"/>
        </c:ser>
        <c:ser>
          <c:idx val="1"/>
          <c:order val="1"/>
          <c:tx>
            <c:strRef>
              <c:f>Obrti!$D$16</c:f>
              <c:strCache>
                <c:ptCount val="1"/>
                <c:pt idx="0">
                  <c:v>Pula</c:v>
                </c:pt>
              </c:strCache>
            </c:strRef>
          </c:tx>
          <c:marker>
            <c:symbol val="none"/>
          </c:marker>
          <c:cat>
            <c:strRef>
              <c:f>Obrti!$B$17:$B$27</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Obrti!$D$17:$D$27</c:f>
              <c:numCache>
                <c:formatCode>0.0</c:formatCode>
                <c:ptCount val="11"/>
                <c:pt idx="0">
                  <c:v>100</c:v>
                </c:pt>
                <c:pt idx="1">
                  <c:v>103.96912899669239</c:v>
                </c:pt>
                <c:pt idx="2">
                  <c:v>108.93054024255788</c:v>
                </c:pt>
                <c:pt idx="3">
                  <c:v>110.08820286659315</c:v>
                </c:pt>
                <c:pt idx="4">
                  <c:v>109.42668136714444</c:v>
                </c:pt>
                <c:pt idx="5">
                  <c:v>110.80485115766263</c:v>
                </c:pt>
                <c:pt idx="6">
                  <c:v>109.97794928335172</c:v>
                </c:pt>
                <c:pt idx="7">
                  <c:v>105.67805953693494</c:v>
                </c:pt>
                <c:pt idx="8">
                  <c:v>99.834619625137819</c:v>
                </c:pt>
                <c:pt idx="9">
                  <c:v>91.896361631753038</c:v>
                </c:pt>
                <c:pt idx="10">
                  <c:v>87.100330760749728</c:v>
                </c:pt>
              </c:numCache>
            </c:numRef>
          </c:val>
          <c:smooth val="0"/>
        </c:ser>
        <c:ser>
          <c:idx val="2"/>
          <c:order val="2"/>
          <c:tx>
            <c:strRef>
              <c:f>Obrti!$E$16</c:f>
              <c:strCache>
                <c:ptCount val="1"/>
                <c:pt idx="0">
                  <c:v> Rijeka</c:v>
                </c:pt>
              </c:strCache>
            </c:strRef>
          </c:tx>
          <c:marker>
            <c:symbol val="none"/>
          </c:marker>
          <c:cat>
            <c:strRef>
              <c:f>Obrti!$B$17:$B$27</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Obrti!$E$17:$E$27</c:f>
              <c:numCache>
                <c:formatCode>0.0</c:formatCode>
                <c:ptCount val="11"/>
                <c:pt idx="0">
                  <c:v>100</c:v>
                </c:pt>
                <c:pt idx="1">
                  <c:v>99.387676999617298</c:v>
                </c:pt>
                <c:pt idx="2">
                  <c:v>101.95177956371985</c:v>
                </c:pt>
                <c:pt idx="3">
                  <c:v>106.8886337543054</c:v>
                </c:pt>
                <c:pt idx="4">
                  <c:v>105.58744737849214</c:v>
                </c:pt>
                <c:pt idx="5">
                  <c:v>104.82204362801377</c:v>
                </c:pt>
                <c:pt idx="6">
                  <c:v>104.93685419058554</c:v>
                </c:pt>
                <c:pt idx="7">
                  <c:v>99.655568312284728</c:v>
                </c:pt>
                <c:pt idx="8">
                  <c:v>92.460773057787975</c:v>
                </c:pt>
                <c:pt idx="9">
                  <c:v>85.342518178339077</c:v>
                </c:pt>
                <c:pt idx="10">
                  <c:v>81.324148488327594</c:v>
                </c:pt>
              </c:numCache>
            </c:numRef>
          </c:val>
          <c:smooth val="0"/>
        </c:ser>
        <c:ser>
          <c:idx val="3"/>
          <c:order val="3"/>
          <c:tx>
            <c:strRef>
              <c:f>Obrti!$F$16</c:f>
              <c:strCache>
                <c:ptCount val="1"/>
                <c:pt idx="0">
                  <c:v>Split</c:v>
                </c:pt>
              </c:strCache>
            </c:strRef>
          </c:tx>
          <c:marker>
            <c:symbol val="none"/>
          </c:marker>
          <c:cat>
            <c:strRef>
              <c:f>Obrti!$B$17:$B$27</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Obrti!$F$17:$F$27</c:f>
              <c:numCache>
                <c:formatCode>0.0</c:formatCode>
                <c:ptCount val="11"/>
                <c:pt idx="0">
                  <c:v>100</c:v>
                </c:pt>
                <c:pt idx="1">
                  <c:v>102.48756218905473</c:v>
                </c:pt>
                <c:pt idx="2">
                  <c:v>103.6958066808813</c:v>
                </c:pt>
                <c:pt idx="3">
                  <c:v>106.25444207533761</c:v>
                </c:pt>
                <c:pt idx="4">
                  <c:v>106.0767590618337</c:v>
                </c:pt>
                <c:pt idx="5">
                  <c:v>105.01066098081024</c:v>
                </c:pt>
                <c:pt idx="6">
                  <c:v>103.51812366737741</c:v>
                </c:pt>
                <c:pt idx="7">
                  <c:v>98.862828713574984</c:v>
                </c:pt>
                <c:pt idx="8">
                  <c:v>93.816631130063968</c:v>
                </c:pt>
                <c:pt idx="9">
                  <c:v>87.917555081734193</c:v>
                </c:pt>
                <c:pt idx="10">
                  <c:v>87.029140014214647</c:v>
                </c:pt>
              </c:numCache>
            </c:numRef>
          </c:val>
          <c:smooth val="0"/>
        </c:ser>
        <c:ser>
          <c:idx val="4"/>
          <c:order val="4"/>
          <c:tx>
            <c:strRef>
              <c:f>Obrti!$G$16</c:f>
              <c:strCache>
                <c:ptCount val="1"/>
                <c:pt idx="0">
                  <c:v>Dubrovnik</c:v>
                </c:pt>
              </c:strCache>
            </c:strRef>
          </c:tx>
          <c:marker>
            <c:symbol val="none"/>
          </c:marker>
          <c:cat>
            <c:strRef>
              <c:f>Obrti!$B$17:$B$27</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Obrti!$G$17:$G$27</c:f>
              <c:numCache>
                <c:formatCode>0.0</c:formatCode>
                <c:ptCount val="11"/>
                <c:pt idx="0">
                  <c:v>100</c:v>
                </c:pt>
                <c:pt idx="1">
                  <c:v>105.24899057873486</c:v>
                </c:pt>
                <c:pt idx="2">
                  <c:v>108.88290713324361</c:v>
                </c:pt>
                <c:pt idx="3">
                  <c:v>104.4414535666218</c:v>
                </c:pt>
                <c:pt idx="4">
                  <c:v>104.71063257065948</c:v>
                </c:pt>
                <c:pt idx="5">
                  <c:v>103.36473755047106</c:v>
                </c:pt>
                <c:pt idx="6">
                  <c:v>107.40242261103634</c:v>
                </c:pt>
                <c:pt idx="7">
                  <c:v>103.90309555854644</c:v>
                </c:pt>
                <c:pt idx="8">
                  <c:v>99.865410497981159</c:v>
                </c:pt>
                <c:pt idx="9">
                  <c:v>99.461641991924637</c:v>
                </c:pt>
                <c:pt idx="10">
                  <c:v>104.03768506056528</c:v>
                </c:pt>
              </c:numCache>
            </c:numRef>
          </c:val>
          <c:smooth val="0"/>
        </c:ser>
        <c:dLbls>
          <c:showLegendKey val="0"/>
          <c:showVal val="0"/>
          <c:showCatName val="0"/>
          <c:showSerName val="0"/>
          <c:showPercent val="0"/>
          <c:showBubbleSize val="0"/>
        </c:dLbls>
        <c:marker val="1"/>
        <c:smooth val="0"/>
        <c:axId val="372531968"/>
        <c:axId val="372533504"/>
      </c:lineChart>
      <c:catAx>
        <c:axId val="372531968"/>
        <c:scaling>
          <c:orientation val="minMax"/>
        </c:scaling>
        <c:delete val="0"/>
        <c:axPos val="b"/>
        <c:majorTickMark val="out"/>
        <c:minorTickMark val="none"/>
        <c:tickLblPos val="nextTo"/>
        <c:crossAx val="372533504"/>
        <c:crosses val="autoZero"/>
        <c:auto val="1"/>
        <c:lblAlgn val="ctr"/>
        <c:lblOffset val="100"/>
        <c:noMultiLvlLbl val="0"/>
      </c:catAx>
      <c:valAx>
        <c:axId val="372533504"/>
        <c:scaling>
          <c:orientation val="minMax"/>
          <c:min val="80"/>
        </c:scaling>
        <c:delete val="0"/>
        <c:axPos val="l"/>
        <c:majorGridlines/>
        <c:numFmt formatCode="0.0" sourceLinked="1"/>
        <c:majorTickMark val="out"/>
        <c:minorTickMark val="none"/>
        <c:tickLblPos val="nextTo"/>
        <c:crossAx val="372531968"/>
        <c:crosses val="autoZero"/>
        <c:crossBetween val="between"/>
      </c:valAx>
    </c:plotArea>
    <c:legend>
      <c:legendPos val="r"/>
      <c:overlay val="0"/>
    </c:legend>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875179950677862E-2"/>
          <c:y val="4.2234971078441208E-2"/>
          <c:w val="0.72404725244002688"/>
          <c:h val="0.76513795213617564"/>
        </c:manualLayout>
      </c:layout>
      <c:barChart>
        <c:barDir val="col"/>
        <c:grouping val="clustered"/>
        <c:varyColors val="0"/>
        <c:ser>
          <c:idx val="0"/>
          <c:order val="0"/>
          <c:tx>
            <c:strRef>
              <c:f>Obrti!$B$45</c:f>
              <c:strCache>
                <c:ptCount val="1"/>
                <c:pt idx="0">
                  <c:v>Zadarska županija</c:v>
                </c:pt>
              </c:strCache>
            </c:strRef>
          </c:tx>
          <c:invertIfNegative val="0"/>
          <c:dLbls>
            <c:dLbl>
              <c:idx val="4"/>
              <c:layout>
                <c:manualLayout>
                  <c:x val="0"/>
                  <c:y val="1.1412266479118098E-2"/>
                </c:manualLayout>
              </c:layout>
              <c:showLegendKey val="0"/>
              <c:showVal val="1"/>
              <c:showCatName val="0"/>
              <c:showSerName val="0"/>
              <c:showPercent val="0"/>
              <c:showBubbleSize val="0"/>
            </c:dLbl>
            <c:txPr>
              <a:bodyPr/>
              <a:lstStyle/>
              <a:p>
                <a:pPr>
                  <a:defRPr sz="800"/>
                </a:pPr>
                <a:endParaRPr lang="sr-Latn-RS"/>
              </a:p>
            </c:txPr>
            <c:showLegendKey val="0"/>
            <c:showVal val="1"/>
            <c:showCatName val="0"/>
            <c:showSerName val="0"/>
            <c:showPercent val="0"/>
            <c:showBubbleSize val="0"/>
            <c:showLeaderLines val="0"/>
          </c:dLbls>
          <c:cat>
            <c:strRef>
              <c:f>Obrti!$C$44:$I$44</c:f>
              <c:strCache>
                <c:ptCount val="7"/>
                <c:pt idx="0">
                  <c:v>proizvodno
zanatstvo</c:v>
                </c:pt>
                <c:pt idx="1">
                  <c:v>uslužno zanatstvo</c:v>
                </c:pt>
                <c:pt idx="2">
                  <c:v>ugostiteljstvo i turizam</c:v>
                </c:pt>
                <c:pt idx="3">
                  <c:v>trgovina</c:v>
                </c:pt>
                <c:pt idx="4">
                  <c:v>prijevoz osoba i stvari</c:v>
                </c:pt>
                <c:pt idx="5">
                  <c:v>ribarstvo, marikultura i poljodjelstvo</c:v>
                </c:pt>
                <c:pt idx="6">
                  <c:v>frizeri, kozmetičari, njega tjela, fitness</c:v>
                </c:pt>
              </c:strCache>
            </c:strRef>
          </c:cat>
          <c:val>
            <c:numRef>
              <c:f>Obrti!$C$45:$I$45</c:f>
              <c:numCache>
                <c:formatCode>0.00%</c:formatCode>
                <c:ptCount val="7"/>
                <c:pt idx="0">
                  <c:v>7.0000000000000007E-2</c:v>
                </c:pt>
                <c:pt idx="1">
                  <c:v>0.30099999999999999</c:v>
                </c:pt>
                <c:pt idx="2">
                  <c:v>0.25700000000000001</c:v>
                </c:pt>
                <c:pt idx="3">
                  <c:v>0.16800000000000001</c:v>
                </c:pt>
                <c:pt idx="4">
                  <c:v>7.9000000000000001E-2</c:v>
                </c:pt>
                <c:pt idx="5">
                  <c:v>7.9000000000000001E-2</c:v>
                </c:pt>
                <c:pt idx="6">
                  <c:v>4.5999999999999999E-2</c:v>
                </c:pt>
              </c:numCache>
            </c:numRef>
          </c:val>
        </c:ser>
        <c:ser>
          <c:idx val="1"/>
          <c:order val="1"/>
          <c:tx>
            <c:strRef>
              <c:f>Obrti!$B$51</c:f>
              <c:strCache>
                <c:ptCount val="1"/>
                <c:pt idx="0">
                  <c:v>RH</c:v>
                </c:pt>
              </c:strCache>
            </c:strRef>
          </c:tx>
          <c:invertIfNegative val="0"/>
          <c:dLbls>
            <c:dLbl>
              <c:idx val="3"/>
              <c:layout>
                <c:manualLayout>
                  <c:x val="1.695813460519343E-2"/>
                  <c:y val="1.1412266479118098E-2"/>
                </c:manualLayout>
              </c:layout>
              <c:showLegendKey val="0"/>
              <c:showVal val="1"/>
              <c:showCatName val="0"/>
              <c:showSerName val="0"/>
              <c:showPercent val="0"/>
              <c:showBubbleSize val="0"/>
            </c:dLbl>
            <c:dLbl>
              <c:idx val="5"/>
              <c:layout>
                <c:manualLayout>
                  <c:x val="1.059866721747222E-2"/>
                  <c:y val="0"/>
                </c:manualLayout>
              </c:layout>
              <c:showLegendKey val="0"/>
              <c:showVal val="1"/>
              <c:showCatName val="0"/>
              <c:showSerName val="0"/>
              <c:showPercent val="0"/>
              <c:showBubbleSize val="0"/>
            </c:dLbl>
            <c:txPr>
              <a:bodyPr/>
              <a:lstStyle/>
              <a:p>
                <a:pPr>
                  <a:defRPr sz="800"/>
                </a:pPr>
                <a:endParaRPr lang="sr-Latn-RS"/>
              </a:p>
            </c:txPr>
            <c:showLegendKey val="0"/>
            <c:showVal val="1"/>
            <c:showCatName val="0"/>
            <c:showSerName val="0"/>
            <c:showPercent val="0"/>
            <c:showBubbleSize val="0"/>
            <c:showLeaderLines val="0"/>
          </c:dLbls>
          <c:cat>
            <c:strRef>
              <c:f>Obrti!$C$44:$I$44</c:f>
              <c:strCache>
                <c:ptCount val="7"/>
                <c:pt idx="0">
                  <c:v>proizvodno
zanatstvo</c:v>
                </c:pt>
                <c:pt idx="1">
                  <c:v>uslužno zanatstvo</c:v>
                </c:pt>
                <c:pt idx="2">
                  <c:v>ugostiteljstvo i turizam</c:v>
                </c:pt>
                <c:pt idx="3">
                  <c:v>trgovina</c:v>
                </c:pt>
                <c:pt idx="4">
                  <c:v>prijevoz osoba i stvari</c:v>
                </c:pt>
                <c:pt idx="5">
                  <c:v>ribarstvo, marikultura i poljodjelstvo</c:v>
                </c:pt>
                <c:pt idx="6">
                  <c:v>frizeri, kozmetičari, njega tjela, fitness</c:v>
                </c:pt>
              </c:strCache>
            </c:strRef>
          </c:cat>
          <c:val>
            <c:numRef>
              <c:f>Obrti!$C$51:$I$51</c:f>
              <c:numCache>
                <c:formatCode>0.00%</c:formatCode>
                <c:ptCount val="7"/>
                <c:pt idx="0">
                  <c:v>0.112</c:v>
                </c:pt>
                <c:pt idx="1">
                  <c:v>0.34399999999999997</c:v>
                </c:pt>
                <c:pt idx="2">
                  <c:v>0.17299999999999999</c:v>
                </c:pt>
                <c:pt idx="3">
                  <c:v>0.16200000000000001</c:v>
                </c:pt>
                <c:pt idx="4">
                  <c:v>9.0999999999999998E-2</c:v>
                </c:pt>
                <c:pt idx="5">
                  <c:v>5.6000000000000001E-2</c:v>
                </c:pt>
                <c:pt idx="6">
                  <c:v>6.2E-2</c:v>
                </c:pt>
              </c:numCache>
            </c:numRef>
          </c:val>
        </c:ser>
        <c:dLbls>
          <c:showLegendKey val="0"/>
          <c:showVal val="0"/>
          <c:showCatName val="0"/>
          <c:showSerName val="0"/>
          <c:showPercent val="0"/>
          <c:showBubbleSize val="0"/>
        </c:dLbls>
        <c:gapWidth val="150"/>
        <c:axId val="373153152"/>
        <c:axId val="377549952"/>
      </c:barChart>
      <c:catAx>
        <c:axId val="373153152"/>
        <c:scaling>
          <c:orientation val="minMax"/>
        </c:scaling>
        <c:delete val="0"/>
        <c:axPos val="b"/>
        <c:majorTickMark val="out"/>
        <c:minorTickMark val="none"/>
        <c:tickLblPos val="nextTo"/>
        <c:txPr>
          <a:bodyPr/>
          <a:lstStyle/>
          <a:p>
            <a:pPr>
              <a:defRPr sz="800"/>
            </a:pPr>
            <a:endParaRPr lang="sr-Latn-RS"/>
          </a:p>
        </c:txPr>
        <c:crossAx val="377549952"/>
        <c:crosses val="autoZero"/>
        <c:auto val="1"/>
        <c:lblAlgn val="ctr"/>
        <c:lblOffset val="100"/>
        <c:noMultiLvlLbl val="0"/>
      </c:catAx>
      <c:valAx>
        <c:axId val="377549952"/>
        <c:scaling>
          <c:orientation val="minMax"/>
        </c:scaling>
        <c:delete val="0"/>
        <c:axPos val="l"/>
        <c:majorGridlines/>
        <c:numFmt formatCode="0.00%" sourceLinked="1"/>
        <c:majorTickMark val="out"/>
        <c:minorTickMark val="none"/>
        <c:tickLblPos val="nextTo"/>
        <c:crossAx val="373153152"/>
        <c:crosses val="autoZero"/>
        <c:crossBetween val="between"/>
      </c:valAx>
    </c:plotArea>
    <c:legend>
      <c:legendPos val="r"/>
      <c:layout>
        <c:manualLayout>
          <c:xMode val="edge"/>
          <c:yMode val="edge"/>
          <c:x val="0.84847940112414411"/>
          <c:y val="0.37034542025147121"/>
          <c:w val="0.13880199792196088"/>
          <c:h val="0.19844343874054107"/>
        </c:manualLayout>
      </c:layout>
      <c:overlay val="0"/>
    </c:legend>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100"/>
            </a:pPr>
            <a:r>
              <a:rPr lang="hr-HR" sz="1100"/>
              <a:t>Zadarska županija</a:t>
            </a:r>
          </a:p>
        </c:rich>
      </c:tx>
      <c:overlay val="0"/>
    </c:title>
    <c:autoTitleDeleted val="0"/>
    <c:plotArea>
      <c:layout>
        <c:manualLayout>
          <c:layoutTarget val="inner"/>
          <c:xMode val="edge"/>
          <c:yMode val="edge"/>
          <c:x val="0.17272334178566662"/>
          <c:y val="0.11237153324008539"/>
          <c:w val="0.60965523377374431"/>
          <c:h val="0.81195637284711664"/>
        </c:manualLayout>
      </c:layout>
      <c:doughnutChart>
        <c:varyColors val="1"/>
        <c:ser>
          <c:idx val="0"/>
          <c:order val="0"/>
          <c:explosion val="25"/>
          <c:dPt>
            <c:idx val="0"/>
            <c:bubble3D val="0"/>
            <c:explosion val="12"/>
          </c:dPt>
          <c:dLbls>
            <c:showLegendKey val="0"/>
            <c:showVal val="0"/>
            <c:showCatName val="0"/>
            <c:showSerName val="0"/>
            <c:showPercent val="1"/>
            <c:showBubbleSize val="0"/>
            <c:showLeaderLines val="1"/>
          </c:dLbls>
          <c:cat>
            <c:strRef>
              <c:f>Obrti!$D$57:$E$57</c:f>
              <c:strCache>
                <c:ptCount val="2"/>
                <c:pt idx="0">
                  <c:v>Žene</c:v>
                </c:pt>
                <c:pt idx="1">
                  <c:v>Muškarci</c:v>
                </c:pt>
              </c:strCache>
            </c:strRef>
          </c:cat>
          <c:val>
            <c:numRef>
              <c:f>Obrti!$D$58:$E$58</c:f>
              <c:numCache>
                <c:formatCode>0.00%</c:formatCode>
                <c:ptCount val="2"/>
                <c:pt idx="0">
                  <c:v>0.29799999999999999</c:v>
                </c:pt>
                <c:pt idx="1">
                  <c:v>0.70199999999999996</c:v>
                </c:pt>
              </c:numCache>
            </c:numRef>
          </c:val>
        </c:ser>
        <c:dLbls>
          <c:showLegendKey val="0"/>
          <c:showVal val="0"/>
          <c:showCatName val="0"/>
          <c:showSerName val="0"/>
          <c:showPercent val="1"/>
          <c:showBubbleSize val="0"/>
          <c:showLeaderLines val="1"/>
        </c:dLbls>
        <c:firstSliceAng val="0"/>
        <c:holeSize val="50"/>
      </c:doughnutChart>
    </c:plotArea>
    <c:legend>
      <c:legendPos val="r"/>
      <c:overlay val="0"/>
      <c:txPr>
        <a:bodyPr/>
        <a:lstStyle/>
        <a:p>
          <a:pPr>
            <a:defRPr sz="800"/>
          </a:pPr>
          <a:endParaRPr lang="sr-Latn-RS"/>
        </a:p>
      </c:txPr>
    </c:legend>
    <c:plotVisOnly val="1"/>
    <c:dispBlanksAs val="gap"/>
    <c:showDLblsOverMax val="0"/>
  </c:chart>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200"/>
            </a:pPr>
            <a:r>
              <a:rPr lang="hr-HR" sz="1200"/>
              <a:t>RH</a:t>
            </a:r>
          </a:p>
        </c:rich>
      </c:tx>
      <c:overlay val="0"/>
    </c:title>
    <c:autoTitleDeleted val="0"/>
    <c:plotArea>
      <c:layout>
        <c:manualLayout>
          <c:layoutTarget val="inner"/>
          <c:xMode val="edge"/>
          <c:yMode val="edge"/>
          <c:x val="0.15614109983240046"/>
          <c:y val="0.13739309361111349"/>
          <c:w val="0.55902412800809542"/>
          <c:h val="0.79145402538398546"/>
        </c:manualLayout>
      </c:layout>
      <c:doughnutChart>
        <c:varyColors val="1"/>
        <c:ser>
          <c:idx val="0"/>
          <c:order val="0"/>
          <c:explosion val="15"/>
          <c:dLbls>
            <c:showLegendKey val="0"/>
            <c:showVal val="0"/>
            <c:showCatName val="0"/>
            <c:showSerName val="0"/>
            <c:showPercent val="1"/>
            <c:showBubbleSize val="0"/>
            <c:showLeaderLines val="1"/>
          </c:dLbls>
          <c:cat>
            <c:strRef>
              <c:f>Obrti!$D$57:$E$57</c:f>
              <c:strCache>
                <c:ptCount val="2"/>
                <c:pt idx="0">
                  <c:v>Žene</c:v>
                </c:pt>
                <c:pt idx="1">
                  <c:v>Muškarci</c:v>
                </c:pt>
              </c:strCache>
            </c:strRef>
          </c:cat>
          <c:val>
            <c:numRef>
              <c:f>Obrti!$D$59:$E$59</c:f>
              <c:numCache>
                <c:formatCode>0.00%</c:formatCode>
                <c:ptCount val="2"/>
                <c:pt idx="0">
                  <c:v>0.32</c:v>
                </c:pt>
                <c:pt idx="1">
                  <c:v>0.68</c:v>
                </c:pt>
              </c:numCache>
            </c:numRef>
          </c:val>
        </c:ser>
        <c:dLbls>
          <c:showLegendKey val="0"/>
          <c:showVal val="0"/>
          <c:showCatName val="0"/>
          <c:showSerName val="0"/>
          <c:showPercent val="1"/>
          <c:showBubbleSize val="0"/>
          <c:showLeaderLines val="1"/>
        </c:dLbls>
        <c:firstSliceAng val="0"/>
        <c:holeSize val="50"/>
      </c:doughnutChart>
    </c:plotArea>
    <c:legend>
      <c:legendPos val="r"/>
      <c:layout>
        <c:manualLayout>
          <c:xMode val="edge"/>
          <c:yMode val="edge"/>
          <c:x val="0.74553343284507856"/>
          <c:y val="0.47723723723723716"/>
          <c:w val="0.19024912994642817"/>
          <c:h val="0.18807786267551216"/>
        </c:manualLayout>
      </c:layout>
      <c:overlay val="0"/>
      <c:txPr>
        <a:bodyPr/>
        <a:lstStyle/>
        <a:p>
          <a:pPr>
            <a:defRPr sz="800"/>
          </a:pPr>
          <a:endParaRPr lang="sr-Latn-R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List1!$C$185</c:f>
              <c:strCache>
                <c:ptCount val="1"/>
                <c:pt idx="0">
                  <c:v>Indeks Zadar</c:v>
                </c:pt>
              </c:strCache>
            </c:strRef>
          </c:tx>
          <c:spPr>
            <a:ln>
              <a:solidFill>
                <a:srgbClr val="002060"/>
              </a:solidFill>
            </a:ln>
          </c:spPr>
          <c:marker>
            <c:symbol val="none"/>
          </c:marker>
          <c:dLbls>
            <c:dLbl>
              <c:idx val="0"/>
              <c:layout>
                <c:manualLayout>
                  <c:x val="0"/>
                  <c:y val="-2.1917808219178082E-2"/>
                </c:manualLayout>
              </c:layout>
              <c:showLegendKey val="0"/>
              <c:showVal val="1"/>
              <c:showCatName val="0"/>
              <c:showSerName val="0"/>
              <c:showPercent val="0"/>
              <c:showBubbleSize val="0"/>
            </c:dLbl>
            <c:dLbl>
              <c:idx val="1"/>
              <c:layout>
                <c:manualLayout>
                  <c:x val="0"/>
                  <c:y val="0"/>
                </c:manualLayout>
              </c:layout>
              <c:showLegendKey val="0"/>
              <c:showVal val="1"/>
              <c:showCatName val="0"/>
              <c:showSerName val="0"/>
              <c:showPercent val="0"/>
              <c:showBubbleSize val="0"/>
            </c:dLbl>
            <c:dLbl>
              <c:idx val="2"/>
              <c:layout>
                <c:manualLayout>
                  <c:x val="0"/>
                  <c:y val="-1.8264840182648401E-2"/>
                </c:manualLayout>
              </c:layout>
              <c:showLegendKey val="0"/>
              <c:showVal val="1"/>
              <c:showCatName val="0"/>
              <c:showSerName val="0"/>
              <c:showPercent val="0"/>
              <c:showBubbleSize val="0"/>
            </c:dLbl>
            <c:dLbl>
              <c:idx val="4"/>
              <c:layout>
                <c:manualLayout>
                  <c:x val="0"/>
                  <c:y val="1.8264840182648401E-2"/>
                </c:manualLayout>
              </c:layout>
              <c:showLegendKey val="0"/>
              <c:showVal val="1"/>
              <c:showCatName val="0"/>
              <c:showSerName val="0"/>
              <c:showPercent val="0"/>
              <c:showBubbleSize val="0"/>
            </c:dLbl>
            <c:numFmt formatCode="#,##0.0" sourceLinked="0"/>
            <c:txPr>
              <a:bodyPr/>
              <a:lstStyle/>
              <a:p>
                <a:pPr>
                  <a:defRPr sz="800"/>
                </a:pPr>
                <a:endParaRPr lang="sr-Latn-RS"/>
              </a:p>
            </c:txPr>
            <c:showLegendKey val="0"/>
            <c:showVal val="1"/>
            <c:showCatName val="0"/>
            <c:showSerName val="0"/>
            <c:showPercent val="0"/>
            <c:showBubbleSize val="0"/>
            <c:showLeaderLines val="0"/>
          </c:dLbls>
          <c:cat>
            <c:strRef>
              <c:f>List1!$B$186:$B$196</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List1!$C$186:$C$196</c:f>
              <c:numCache>
                <c:formatCode>0.00</c:formatCode>
                <c:ptCount val="11"/>
                <c:pt idx="0">
                  <c:v>100</c:v>
                </c:pt>
                <c:pt idx="1">
                  <c:v>99.561775515973991</c:v>
                </c:pt>
                <c:pt idx="2">
                  <c:v>78.753180661577602</c:v>
                </c:pt>
                <c:pt idx="3">
                  <c:v>78.484591461690698</c:v>
                </c:pt>
                <c:pt idx="4">
                  <c:v>70.426915465083411</c:v>
                </c:pt>
                <c:pt idx="5">
                  <c:v>71.642635001413623</c:v>
                </c:pt>
                <c:pt idx="6">
                  <c:v>62.722646310432573</c:v>
                </c:pt>
                <c:pt idx="7">
                  <c:v>57.435679954763927</c:v>
                </c:pt>
                <c:pt idx="8">
                  <c:v>67.684478371501271</c:v>
                </c:pt>
                <c:pt idx="9">
                  <c:v>69.663556686457454</c:v>
                </c:pt>
                <c:pt idx="10">
                  <c:v>67.005937234944867</c:v>
                </c:pt>
              </c:numCache>
            </c:numRef>
          </c:val>
          <c:smooth val="0"/>
        </c:ser>
        <c:ser>
          <c:idx val="1"/>
          <c:order val="1"/>
          <c:tx>
            <c:strRef>
              <c:f>List1!$D$185</c:f>
              <c:strCache>
                <c:ptCount val="1"/>
                <c:pt idx="0">
                  <c:v>Indeks Pula</c:v>
                </c:pt>
              </c:strCache>
            </c:strRef>
          </c:tx>
          <c:marker>
            <c:symbol val="none"/>
          </c:marker>
          <c:cat>
            <c:strRef>
              <c:f>List1!$B$186:$B$196</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List1!$D$186:$D$196</c:f>
              <c:numCache>
                <c:formatCode>0.00</c:formatCode>
                <c:ptCount val="11"/>
                <c:pt idx="0">
                  <c:v>100</c:v>
                </c:pt>
                <c:pt idx="1">
                  <c:v>72.698328469089944</c:v>
                </c:pt>
                <c:pt idx="2">
                  <c:v>57.176970018572568</c:v>
                </c:pt>
                <c:pt idx="3">
                  <c:v>63.59777129211993</c:v>
                </c:pt>
                <c:pt idx="4">
                  <c:v>60.546564075351547</c:v>
                </c:pt>
                <c:pt idx="5">
                  <c:v>58.636243035287869</c:v>
                </c:pt>
                <c:pt idx="6">
                  <c:v>53.329795701777662</c:v>
                </c:pt>
                <c:pt idx="7">
                  <c:v>50.145927301671534</c:v>
                </c:pt>
                <c:pt idx="8">
                  <c:v>74.820907402494029</c:v>
                </c:pt>
                <c:pt idx="9">
                  <c:v>79.517113292650563</c:v>
                </c:pt>
                <c:pt idx="10">
                  <c:v>78.217033695940557</c:v>
                </c:pt>
              </c:numCache>
            </c:numRef>
          </c:val>
          <c:smooth val="0"/>
        </c:ser>
        <c:ser>
          <c:idx val="2"/>
          <c:order val="2"/>
          <c:tx>
            <c:strRef>
              <c:f>List1!$E$185</c:f>
              <c:strCache>
                <c:ptCount val="1"/>
                <c:pt idx="0">
                  <c:v>Indeks Rijeka</c:v>
                </c:pt>
              </c:strCache>
            </c:strRef>
          </c:tx>
          <c:marker>
            <c:symbol val="none"/>
          </c:marker>
          <c:cat>
            <c:strRef>
              <c:f>List1!$B$186:$B$196</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List1!$E$186:$E$196</c:f>
              <c:numCache>
                <c:formatCode>0.00</c:formatCode>
                <c:ptCount val="11"/>
                <c:pt idx="0">
                  <c:v>100</c:v>
                </c:pt>
                <c:pt idx="1">
                  <c:v>87.587426642013028</c:v>
                </c:pt>
                <c:pt idx="2">
                  <c:v>77.506230404373341</c:v>
                </c:pt>
                <c:pt idx="3">
                  <c:v>75.375834070262883</c:v>
                </c:pt>
                <c:pt idx="4">
                  <c:v>71.774258380898786</c:v>
                </c:pt>
                <c:pt idx="5">
                  <c:v>65.33483398987056</c:v>
                </c:pt>
                <c:pt idx="6">
                  <c:v>55.936972425436124</c:v>
                </c:pt>
                <c:pt idx="7">
                  <c:v>53.758340702628828</c:v>
                </c:pt>
                <c:pt idx="8">
                  <c:v>67.810917276308373</c:v>
                </c:pt>
                <c:pt idx="9">
                  <c:v>75.44818715330814</c:v>
                </c:pt>
                <c:pt idx="10">
                  <c:v>72.417396896856658</c:v>
                </c:pt>
              </c:numCache>
            </c:numRef>
          </c:val>
          <c:smooth val="0"/>
        </c:ser>
        <c:ser>
          <c:idx val="3"/>
          <c:order val="3"/>
          <c:tx>
            <c:strRef>
              <c:f>List1!$F$185</c:f>
              <c:strCache>
                <c:ptCount val="1"/>
                <c:pt idx="0">
                  <c:v>Indeks Split</c:v>
                </c:pt>
              </c:strCache>
            </c:strRef>
          </c:tx>
          <c:marker>
            <c:symbol val="none"/>
          </c:marker>
          <c:cat>
            <c:strRef>
              <c:f>List1!$B$186:$B$196</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List1!$F$186:$F$196</c:f>
              <c:numCache>
                <c:formatCode>0.00</c:formatCode>
                <c:ptCount val="11"/>
                <c:pt idx="0">
                  <c:v>100</c:v>
                </c:pt>
                <c:pt idx="1">
                  <c:v>92.914932422952816</c:v>
                </c:pt>
                <c:pt idx="2">
                  <c:v>84.020015900481695</c:v>
                </c:pt>
                <c:pt idx="3">
                  <c:v>81.779918626946639</c:v>
                </c:pt>
                <c:pt idx="4">
                  <c:v>77.374549876069779</c:v>
                </c:pt>
                <c:pt idx="5">
                  <c:v>72.085301407660296</c:v>
                </c:pt>
                <c:pt idx="6">
                  <c:v>63.611279988776126</c:v>
                </c:pt>
                <c:pt idx="7">
                  <c:v>58.06481784595239</c:v>
                </c:pt>
                <c:pt idx="8">
                  <c:v>65.748491792545479</c:v>
                </c:pt>
                <c:pt idx="9">
                  <c:v>74.774353458354767</c:v>
                </c:pt>
                <c:pt idx="10">
                  <c:v>79.128279474348787</c:v>
                </c:pt>
              </c:numCache>
            </c:numRef>
          </c:val>
          <c:smooth val="0"/>
        </c:ser>
        <c:ser>
          <c:idx val="4"/>
          <c:order val="4"/>
          <c:tx>
            <c:strRef>
              <c:f>List1!$G$185</c:f>
              <c:strCache>
                <c:ptCount val="1"/>
                <c:pt idx="0">
                  <c:v>Indeks Dubrovnik</c:v>
                </c:pt>
              </c:strCache>
            </c:strRef>
          </c:tx>
          <c:marker>
            <c:symbol val="none"/>
          </c:marker>
          <c:cat>
            <c:strRef>
              <c:f>List1!$B$186:$B$196</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List1!$G$186:$G$196</c:f>
              <c:numCache>
                <c:formatCode>0.00</c:formatCode>
                <c:ptCount val="11"/>
                <c:pt idx="0">
                  <c:v>100</c:v>
                </c:pt>
                <c:pt idx="1">
                  <c:v>83.440810686319665</c:v>
                </c:pt>
                <c:pt idx="2">
                  <c:v>67.042837402118835</c:v>
                </c:pt>
                <c:pt idx="3">
                  <c:v>61.999078765545832</c:v>
                </c:pt>
                <c:pt idx="4">
                  <c:v>57.323813910640254</c:v>
                </c:pt>
                <c:pt idx="5">
                  <c:v>57.531091662828196</c:v>
                </c:pt>
                <c:pt idx="6">
                  <c:v>48.572086596038694</c:v>
                </c:pt>
                <c:pt idx="7">
                  <c:v>42.998618148318748</c:v>
                </c:pt>
                <c:pt idx="8">
                  <c:v>55.481345002303087</c:v>
                </c:pt>
                <c:pt idx="9">
                  <c:v>57.784431137724546</c:v>
                </c:pt>
                <c:pt idx="10">
                  <c:v>52.072777521879324</c:v>
                </c:pt>
              </c:numCache>
            </c:numRef>
          </c:val>
          <c:smooth val="0"/>
        </c:ser>
        <c:dLbls>
          <c:showLegendKey val="0"/>
          <c:showVal val="0"/>
          <c:showCatName val="0"/>
          <c:showSerName val="0"/>
          <c:showPercent val="0"/>
          <c:showBubbleSize val="0"/>
        </c:dLbls>
        <c:marker val="1"/>
        <c:smooth val="0"/>
        <c:axId val="330277248"/>
        <c:axId val="330278784"/>
      </c:lineChart>
      <c:catAx>
        <c:axId val="330277248"/>
        <c:scaling>
          <c:orientation val="minMax"/>
        </c:scaling>
        <c:delete val="0"/>
        <c:axPos val="b"/>
        <c:majorTickMark val="out"/>
        <c:minorTickMark val="none"/>
        <c:tickLblPos val="nextTo"/>
        <c:crossAx val="330278784"/>
        <c:crosses val="autoZero"/>
        <c:auto val="1"/>
        <c:lblAlgn val="ctr"/>
        <c:lblOffset val="100"/>
        <c:noMultiLvlLbl val="0"/>
      </c:catAx>
      <c:valAx>
        <c:axId val="330278784"/>
        <c:scaling>
          <c:orientation val="minMax"/>
          <c:min val="40"/>
        </c:scaling>
        <c:delete val="0"/>
        <c:axPos val="l"/>
        <c:majorGridlines/>
        <c:numFmt formatCode="0.00" sourceLinked="1"/>
        <c:majorTickMark val="out"/>
        <c:minorTickMark val="none"/>
        <c:tickLblPos val="nextTo"/>
        <c:crossAx val="330277248"/>
        <c:crosses val="autoZero"/>
        <c:crossBetween val="between"/>
      </c:valAx>
    </c:plotArea>
    <c:legend>
      <c:legendPos val="r"/>
      <c:overlay val="0"/>
      <c:txPr>
        <a:bodyPr/>
        <a:lstStyle/>
        <a:p>
          <a:pPr>
            <a:defRPr sz="800"/>
          </a:pPr>
          <a:endParaRPr lang="sr-Latn-R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30578127112441"/>
          <c:y val="4.3158482740677823E-2"/>
          <c:w val="0.69358097555745146"/>
          <c:h val="0.82655194786045005"/>
        </c:manualLayout>
      </c:layout>
      <c:lineChart>
        <c:grouping val="standard"/>
        <c:varyColors val="0"/>
        <c:ser>
          <c:idx val="0"/>
          <c:order val="0"/>
          <c:tx>
            <c:strRef>
              <c:f>List1!$C$209</c:f>
              <c:strCache>
                <c:ptCount val="1"/>
                <c:pt idx="0">
                  <c:v>Indeks nezaposlenosti</c:v>
                </c:pt>
              </c:strCache>
            </c:strRef>
          </c:tx>
          <c:marker>
            <c:symbol val="none"/>
          </c:marker>
          <c:dLbls>
            <c:dLbl>
              <c:idx val="1"/>
              <c:layout>
                <c:manualLayout>
                  <c:x val="0"/>
                  <c:y val="2.9962546816479401E-2"/>
                </c:manualLayout>
              </c:layout>
              <c:showLegendKey val="0"/>
              <c:showVal val="1"/>
              <c:showCatName val="0"/>
              <c:showSerName val="0"/>
              <c:showPercent val="0"/>
              <c:showBubbleSize val="0"/>
            </c:dLbl>
            <c:dLbl>
              <c:idx val="10"/>
              <c:layout>
                <c:manualLayout>
                  <c:x val="-7.104795737122558E-3"/>
                  <c:y val="2.6217228464419477E-2"/>
                </c:manualLayout>
              </c:layout>
              <c:showLegendKey val="0"/>
              <c:showVal val="1"/>
              <c:showCatName val="0"/>
              <c:showSerName val="0"/>
              <c:showPercent val="0"/>
              <c:showBubbleSize val="0"/>
            </c:dLbl>
            <c:numFmt formatCode="#,##0.0" sourceLinked="0"/>
            <c:txPr>
              <a:bodyPr/>
              <a:lstStyle/>
              <a:p>
                <a:pPr>
                  <a:defRPr sz="800"/>
                </a:pPr>
                <a:endParaRPr lang="sr-Latn-RS"/>
              </a:p>
            </c:txPr>
            <c:showLegendKey val="0"/>
            <c:showVal val="1"/>
            <c:showCatName val="0"/>
            <c:showSerName val="0"/>
            <c:showPercent val="0"/>
            <c:showBubbleSize val="0"/>
            <c:showLeaderLines val="0"/>
          </c:dLbls>
          <c:cat>
            <c:strRef>
              <c:f>List1!$B$210:$B$220</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List1!$C$210:$C$220</c:f>
              <c:numCache>
                <c:formatCode>0.00</c:formatCode>
                <c:ptCount val="11"/>
                <c:pt idx="0">
                  <c:v>100</c:v>
                </c:pt>
                <c:pt idx="1">
                  <c:v>99.561775515973991</c:v>
                </c:pt>
                <c:pt idx="2">
                  <c:v>78.753180661577602</c:v>
                </c:pt>
                <c:pt idx="3">
                  <c:v>78.484591461690698</c:v>
                </c:pt>
                <c:pt idx="4">
                  <c:v>70.426915465083411</c:v>
                </c:pt>
                <c:pt idx="5">
                  <c:v>71.642635001413623</c:v>
                </c:pt>
                <c:pt idx="6">
                  <c:v>62.722646310432573</c:v>
                </c:pt>
                <c:pt idx="7">
                  <c:v>57.435679954763927</c:v>
                </c:pt>
                <c:pt idx="8">
                  <c:v>67.684478371501271</c:v>
                </c:pt>
                <c:pt idx="9">
                  <c:v>69.663556686457454</c:v>
                </c:pt>
                <c:pt idx="10">
                  <c:v>67.005937234944867</c:v>
                </c:pt>
              </c:numCache>
            </c:numRef>
          </c:val>
          <c:smooth val="0"/>
        </c:ser>
        <c:ser>
          <c:idx val="1"/>
          <c:order val="1"/>
          <c:tx>
            <c:strRef>
              <c:f>List1!$D$209</c:f>
              <c:strCache>
                <c:ptCount val="1"/>
                <c:pt idx="0">
                  <c:v>Indeks zaposlenosti</c:v>
                </c:pt>
              </c:strCache>
            </c:strRef>
          </c:tx>
          <c:marker>
            <c:symbol val="none"/>
          </c:marker>
          <c:dLbls>
            <c:numFmt formatCode="#,##0.0" sourceLinked="0"/>
            <c:txPr>
              <a:bodyPr/>
              <a:lstStyle/>
              <a:p>
                <a:pPr>
                  <a:defRPr sz="800"/>
                </a:pPr>
                <a:endParaRPr lang="sr-Latn-RS"/>
              </a:p>
            </c:txPr>
            <c:showLegendKey val="0"/>
            <c:showVal val="1"/>
            <c:showCatName val="0"/>
            <c:showSerName val="0"/>
            <c:showPercent val="0"/>
            <c:showBubbleSize val="0"/>
            <c:showLeaderLines val="0"/>
          </c:dLbls>
          <c:cat>
            <c:strRef>
              <c:f>List1!$B$210:$B$220</c:f>
              <c:strCache>
                <c:ptCount val="11"/>
                <c:pt idx="0">
                  <c:v>2001.</c:v>
                </c:pt>
                <c:pt idx="1">
                  <c:v>2002.</c:v>
                </c:pt>
                <c:pt idx="2">
                  <c:v>2003.</c:v>
                </c:pt>
                <c:pt idx="3">
                  <c:v>2004.</c:v>
                </c:pt>
                <c:pt idx="4">
                  <c:v>2005.</c:v>
                </c:pt>
                <c:pt idx="5">
                  <c:v>2006.</c:v>
                </c:pt>
                <c:pt idx="6">
                  <c:v>2007.</c:v>
                </c:pt>
                <c:pt idx="7">
                  <c:v>2008.</c:v>
                </c:pt>
                <c:pt idx="8">
                  <c:v>2009.</c:v>
                </c:pt>
                <c:pt idx="9">
                  <c:v>2010.</c:v>
                </c:pt>
                <c:pt idx="10">
                  <c:v>2011.</c:v>
                </c:pt>
              </c:strCache>
            </c:strRef>
          </c:cat>
          <c:val>
            <c:numRef>
              <c:f>List1!$D$210:$D$220</c:f>
              <c:numCache>
                <c:formatCode>0.00</c:formatCode>
                <c:ptCount val="11"/>
                <c:pt idx="0">
                  <c:v>100</c:v>
                </c:pt>
                <c:pt idx="1">
                  <c:v>101.85406050092161</c:v>
                </c:pt>
                <c:pt idx="2">
                  <c:v>102.1865625790596</c:v>
                </c:pt>
                <c:pt idx="3">
                  <c:v>104.46347898370017</c:v>
                </c:pt>
                <c:pt idx="4">
                  <c:v>107.30420325996603</c:v>
                </c:pt>
                <c:pt idx="5">
                  <c:v>111.20387437204091</c:v>
                </c:pt>
                <c:pt idx="6">
                  <c:v>124.99548230872095</c:v>
                </c:pt>
                <c:pt idx="7">
                  <c:v>128.96743648126062</c:v>
                </c:pt>
                <c:pt idx="8">
                  <c:v>125.54483356825328</c:v>
                </c:pt>
                <c:pt idx="9">
                  <c:v>121.72105966966642</c:v>
                </c:pt>
                <c:pt idx="10">
                  <c:v>121.35964436734253</c:v>
                </c:pt>
              </c:numCache>
            </c:numRef>
          </c:val>
          <c:smooth val="0"/>
        </c:ser>
        <c:dLbls>
          <c:showLegendKey val="0"/>
          <c:showVal val="0"/>
          <c:showCatName val="0"/>
          <c:showSerName val="0"/>
          <c:showPercent val="0"/>
          <c:showBubbleSize val="0"/>
        </c:dLbls>
        <c:marker val="1"/>
        <c:smooth val="0"/>
        <c:axId val="330464256"/>
        <c:axId val="331166464"/>
      </c:lineChart>
      <c:catAx>
        <c:axId val="330464256"/>
        <c:scaling>
          <c:orientation val="minMax"/>
        </c:scaling>
        <c:delete val="0"/>
        <c:axPos val="b"/>
        <c:majorTickMark val="out"/>
        <c:minorTickMark val="none"/>
        <c:tickLblPos val="nextTo"/>
        <c:crossAx val="331166464"/>
        <c:crosses val="autoZero"/>
        <c:auto val="1"/>
        <c:lblAlgn val="ctr"/>
        <c:lblOffset val="100"/>
        <c:noMultiLvlLbl val="0"/>
      </c:catAx>
      <c:valAx>
        <c:axId val="331166464"/>
        <c:scaling>
          <c:orientation val="minMax"/>
        </c:scaling>
        <c:delete val="0"/>
        <c:axPos val="l"/>
        <c:majorGridlines/>
        <c:numFmt formatCode="0.00" sourceLinked="1"/>
        <c:majorTickMark val="out"/>
        <c:minorTickMark val="none"/>
        <c:tickLblPos val="nextTo"/>
        <c:crossAx val="330464256"/>
        <c:crosses val="autoZero"/>
        <c:crossBetween val="between"/>
      </c:valAx>
    </c:plotArea>
    <c:legend>
      <c:legendPos val="r"/>
      <c:layout>
        <c:manualLayout>
          <c:xMode val="edge"/>
          <c:yMode val="edge"/>
          <c:x val="0.80702069434926316"/>
          <c:y val="0.35891173184015945"/>
          <c:w val="0.17640144893078422"/>
          <c:h val="0.3183493152464853"/>
        </c:manualLayout>
      </c:layout>
      <c:overlay val="0"/>
      <c:txPr>
        <a:bodyPr/>
        <a:lstStyle/>
        <a:p>
          <a:pPr>
            <a:defRPr sz="800"/>
          </a:pPr>
          <a:endParaRPr lang="sr-Latn-R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200"/>
            </a:pPr>
            <a:r>
              <a:rPr lang="hr-HR" sz="1200"/>
              <a:t>Struktura nezaposlenosti prema obrazovanju u 2011.</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6.2889081255900259E-2"/>
          <c:y val="0.18912618891361427"/>
          <c:w val="0.56552803064832036"/>
          <c:h val="0.77562325701454116"/>
        </c:manualLayout>
      </c:layout>
      <c:pie3DChart>
        <c:varyColors val="1"/>
        <c:ser>
          <c:idx val="0"/>
          <c:order val="0"/>
          <c:explosion val="25"/>
          <c:dPt>
            <c:idx val="2"/>
            <c:bubble3D val="0"/>
            <c:explosion val="16"/>
          </c:dPt>
          <c:dPt>
            <c:idx val="6"/>
            <c:bubble3D val="0"/>
            <c:spPr>
              <a:solidFill>
                <a:schemeClr val="tx2">
                  <a:lumMod val="75000"/>
                </a:schemeClr>
              </a:solidFill>
            </c:spPr>
          </c:dPt>
          <c:dLbls>
            <c:showLegendKey val="0"/>
            <c:showVal val="0"/>
            <c:showCatName val="0"/>
            <c:showSerName val="0"/>
            <c:showPercent val="1"/>
            <c:showBubbleSize val="0"/>
            <c:showLeaderLines val="1"/>
          </c:dLbls>
          <c:cat>
            <c:strRef>
              <c:f>List1!$B$258:$B$264</c:f>
              <c:strCache>
                <c:ptCount val="7"/>
                <c:pt idx="0">
                  <c:v>Bez škole i nezavršena osnovna škola</c:v>
                </c:pt>
                <c:pt idx="1">
                  <c:v>Osnovna škola</c:v>
                </c:pt>
                <c:pt idx="2">
                  <c:v>SŠ za zanimanja
do 3 god. i škola za KV i VKV radnike</c:v>
                </c:pt>
                <c:pt idx="3">
                  <c:v>SŠ za zanimanja u tajanju od 4 i više godina</c:v>
                </c:pt>
                <c:pt idx="4">
                  <c:v>Gimnazija</c:v>
                </c:pt>
                <c:pt idx="5">
                  <c:v>Prvi stupanj fakulteta, stručni studij i viša škola</c:v>
                </c:pt>
                <c:pt idx="6">
                  <c:v>Fakultet, akademija, magisterij, doktorat</c:v>
                </c:pt>
              </c:strCache>
            </c:strRef>
          </c:cat>
          <c:val>
            <c:numRef>
              <c:f>List1!$D$258:$D$264</c:f>
              <c:numCache>
                <c:formatCode>#,##0</c:formatCode>
                <c:ptCount val="7"/>
                <c:pt idx="0" formatCode="General">
                  <c:v>38</c:v>
                </c:pt>
                <c:pt idx="1">
                  <c:v>748</c:v>
                </c:pt>
                <c:pt idx="2">
                  <c:v>1487</c:v>
                </c:pt>
                <c:pt idx="3">
                  <c:v>1346</c:v>
                </c:pt>
                <c:pt idx="4">
                  <c:v>252</c:v>
                </c:pt>
                <c:pt idx="5">
                  <c:v>254</c:v>
                </c:pt>
                <c:pt idx="6">
                  <c:v>615</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65612816170056432"/>
          <c:y val="0.13887680963321158"/>
          <c:w val="0.3292144546424185"/>
          <c:h val="0.80591206104044033"/>
        </c:manualLayout>
      </c:layout>
      <c:overlay val="0"/>
      <c:txPr>
        <a:bodyPr/>
        <a:lstStyle/>
        <a:p>
          <a:pPr>
            <a:defRPr sz="800"/>
          </a:pPr>
          <a:endParaRPr lang="sr-Latn-R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2008.</c:v>
          </c:tx>
          <c:invertIfNegative val="0"/>
          <c:cat>
            <c:strRef>
              <c:f>List1!$B$294:$B$300</c:f>
              <c:strCache>
                <c:ptCount val="7"/>
                <c:pt idx="0">
                  <c:v>Bez škole i nezavršena osnovna škola</c:v>
                </c:pt>
                <c:pt idx="1">
                  <c:v>Osnovna škola</c:v>
                </c:pt>
                <c:pt idx="2">
                  <c:v>SŠ za zanimanja
do 3 god. i škola za KV i VKV radnike</c:v>
                </c:pt>
                <c:pt idx="3">
                  <c:v>SŠ za zanimanja u tajanju od 4 i više godina</c:v>
                </c:pt>
                <c:pt idx="4">
                  <c:v>Gimnazija</c:v>
                </c:pt>
                <c:pt idx="5">
                  <c:v>Prvi stupanj fakulteta, stručni studij i viša škola</c:v>
                </c:pt>
                <c:pt idx="6">
                  <c:v>Fakultet, akademija, magisterij, doktorat</c:v>
                </c:pt>
              </c:strCache>
            </c:strRef>
          </c:cat>
          <c:val>
            <c:numRef>
              <c:f>List1!$E$294:$E$300</c:f>
              <c:numCache>
                <c:formatCode>0.00</c:formatCode>
                <c:ptCount val="7"/>
                <c:pt idx="0">
                  <c:v>1.1075559931085406</c:v>
                </c:pt>
                <c:pt idx="1">
                  <c:v>21.41274920009845</c:v>
                </c:pt>
                <c:pt idx="2">
                  <c:v>34.457297563376812</c:v>
                </c:pt>
                <c:pt idx="3">
                  <c:v>25.030765444253017</c:v>
                </c:pt>
                <c:pt idx="4">
                  <c:v>5.0701452128968736</c:v>
                </c:pt>
                <c:pt idx="5">
                  <c:v>4.5040610386413977</c:v>
                </c:pt>
                <c:pt idx="6">
                  <c:v>8.4174255476249069</c:v>
                </c:pt>
              </c:numCache>
            </c:numRef>
          </c:val>
        </c:ser>
        <c:ser>
          <c:idx val="1"/>
          <c:order val="1"/>
          <c:tx>
            <c:v>2011.</c:v>
          </c:tx>
          <c:invertIfNegative val="0"/>
          <c:cat>
            <c:strRef>
              <c:f>List1!$B$294:$B$300</c:f>
              <c:strCache>
                <c:ptCount val="7"/>
                <c:pt idx="0">
                  <c:v>Bez škole i nezavršena osnovna škola</c:v>
                </c:pt>
                <c:pt idx="1">
                  <c:v>Osnovna škola</c:v>
                </c:pt>
                <c:pt idx="2">
                  <c:v>SŠ za zanimanja
do 3 god. i škola za KV i VKV radnike</c:v>
                </c:pt>
                <c:pt idx="3">
                  <c:v>SŠ za zanimanja u tajanju od 4 i više godina</c:v>
                </c:pt>
                <c:pt idx="4">
                  <c:v>Gimnazija</c:v>
                </c:pt>
                <c:pt idx="5">
                  <c:v>Prvi stupanj fakulteta, stručni studij i viša škola</c:v>
                </c:pt>
                <c:pt idx="6">
                  <c:v>Fakultet, akademija, magisterij, doktorat</c:v>
                </c:pt>
              </c:strCache>
            </c:strRef>
          </c:cat>
          <c:val>
            <c:numRef>
              <c:f>List1!$F$294:$F$300</c:f>
              <c:numCache>
                <c:formatCode>0.00</c:formatCode>
                <c:ptCount val="7"/>
                <c:pt idx="0">
                  <c:v>0.80168776371308015</c:v>
                </c:pt>
                <c:pt idx="1">
                  <c:v>15.780590717299578</c:v>
                </c:pt>
                <c:pt idx="2">
                  <c:v>31.371308016877634</c:v>
                </c:pt>
                <c:pt idx="3">
                  <c:v>28.396624472573841</c:v>
                </c:pt>
                <c:pt idx="4">
                  <c:v>5.3164556962025316</c:v>
                </c:pt>
                <c:pt idx="5">
                  <c:v>5.3586497890295366</c:v>
                </c:pt>
                <c:pt idx="6">
                  <c:v>12.974683544303797</c:v>
                </c:pt>
              </c:numCache>
            </c:numRef>
          </c:val>
        </c:ser>
        <c:dLbls>
          <c:showLegendKey val="0"/>
          <c:showVal val="1"/>
          <c:showCatName val="0"/>
          <c:showSerName val="0"/>
          <c:showPercent val="0"/>
          <c:showBubbleSize val="0"/>
        </c:dLbls>
        <c:gapWidth val="75"/>
        <c:shape val="box"/>
        <c:axId val="331278208"/>
        <c:axId val="331279744"/>
        <c:axId val="0"/>
      </c:bar3DChart>
      <c:catAx>
        <c:axId val="331278208"/>
        <c:scaling>
          <c:orientation val="minMax"/>
        </c:scaling>
        <c:delete val="0"/>
        <c:axPos val="l"/>
        <c:majorTickMark val="none"/>
        <c:minorTickMark val="none"/>
        <c:tickLblPos val="nextTo"/>
        <c:txPr>
          <a:bodyPr/>
          <a:lstStyle/>
          <a:p>
            <a:pPr>
              <a:defRPr sz="800"/>
            </a:pPr>
            <a:endParaRPr lang="sr-Latn-RS"/>
          </a:p>
        </c:txPr>
        <c:crossAx val="331279744"/>
        <c:crosses val="autoZero"/>
        <c:auto val="1"/>
        <c:lblAlgn val="ctr"/>
        <c:lblOffset val="100"/>
        <c:noMultiLvlLbl val="0"/>
      </c:catAx>
      <c:valAx>
        <c:axId val="331279744"/>
        <c:scaling>
          <c:orientation val="minMax"/>
        </c:scaling>
        <c:delete val="0"/>
        <c:axPos val="b"/>
        <c:numFmt formatCode="0.00" sourceLinked="1"/>
        <c:majorTickMark val="none"/>
        <c:minorTickMark val="none"/>
        <c:tickLblPos val="nextTo"/>
        <c:crossAx val="331278208"/>
        <c:crosses val="autoZero"/>
        <c:crossBetween val="between"/>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100"/>
            </a:pPr>
            <a:r>
              <a:rPr lang="hr-HR" sz="1100"/>
              <a:t>Struktura</a:t>
            </a:r>
            <a:r>
              <a:rPr lang="hr-HR" sz="1100" baseline="0"/>
              <a:t> nezaposlenosti prema dobi</a:t>
            </a:r>
            <a:endParaRPr lang="hr-HR" sz="1100"/>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List1!$B$307:$B$311</c:f>
              <c:strCache>
                <c:ptCount val="5"/>
                <c:pt idx="0">
                  <c:v>15-24</c:v>
                </c:pt>
                <c:pt idx="1">
                  <c:v>25-34</c:v>
                </c:pt>
                <c:pt idx="2">
                  <c:v>35-44</c:v>
                </c:pt>
                <c:pt idx="3">
                  <c:v>45-54</c:v>
                </c:pt>
                <c:pt idx="4">
                  <c:v>55-60 i više</c:v>
                </c:pt>
              </c:strCache>
            </c:strRef>
          </c:cat>
          <c:val>
            <c:numRef>
              <c:f>List1!$F$307:$F$311</c:f>
              <c:numCache>
                <c:formatCode>0.00</c:formatCode>
                <c:ptCount val="5"/>
                <c:pt idx="0">
                  <c:v>14.19831223628692</c:v>
                </c:pt>
                <c:pt idx="1">
                  <c:v>27.721518987341771</c:v>
                </c:pt>
                <c:pt idx="2">
                  <c:v>20.29535864978903</c:v>
                </c:pt>
                <c:pt idx="3">
                  <c:v>20.780590717299578</c:v>
                </c:pt>
                <c:pt idx="4">
                  <c:v>17.004219409282701</c:v>
                </c:pt>
              </c:numCache>
            </c:numRef>
          </c:val>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RezerviranoMjesto1</b:Tag>
    <b:SourceType>Report</b:SourceType>
    <b:Guid>{3D840113-038F-4476-97EE-A47C176900C2}</b:Guid>
    <b:RefOrder>12</b:RefOrder>
  </b:Source>
  <b:Source>
    <b:Tag>Hrvna</b:Tag>
    <b:SourceType>Report</b:SourceType>
    <b:Guid>{A4006968-BB04-4CF6-BD95-131A0FD073C7}</b:Guid>
    <b:Author>
      <b:Author>
        <b:Corporate>Hrvatski zavod za mirovinsko osiguranje</b:Corporate>
      </b:Author>
    </b:Author>
    <b:Title>Statističke informacije HZMO-a</b:Title>
    <b:Year>više godina</b:Year>
    <b:Publisher>HZMO</b:Publisher>
    <b:City>Zagreb</b:City>
    <b:RefOrder>1</b:RefOrder>
  </b:Source>
  <b:Source>
    <b:Tag>Dru99</b:Tag>
    <b:SourceType>Book</b:SourceType>
    <b:Guid>{F2272249-BFDE-45FC-B78C-2260A3BD9AAE}</b:Guid>
    <b:Title>Resursi i tržišta Hrvatskog gospodarstva</b:Title>
    <b:Year>1999</b:Year>
    <b:City>Zagreb</b:City>
    <b:Publisher>Politička kultura</b:Publisher>
    <b:Author>
      <b:Author>
        <b:NameList>
          <b:Person>
            <b:Last>Družić</b:Last>
            <b:First>Ivo</b:First>
          </b:Person>
        </b:NameList>
      </b:Author>
    </b:Author>
    <b:RefOrder>2</b:RefOrder>
  </b:Source>
  <b:Source>
    <b:Tag>Mat10</b:Tag>
    <b:SourceType>Report</b:SourceType>
    <b:Guid>{628CE97A-3AEF-4478-A4ED-7CA4480DFAD5}</b:Guid>
    <b:Title>Utjecaj ekonomske krize na tržište rada</b:Title>
    <b:Year>2010</b:Year>
    <b:City>Zagreb</b:City>
    <b:Publisher>UNDP Hrvatska</b:Publisher>
    <b:Author>
      <b:Author>
        <b:NameList>
          <b:Person>
            <b:Last>Matković</b:Last>
            <b:First>Teo</b:First>
          </b:Person>
          <b:Person>
            <b:Last>Mihail</b:Last>
            <b:First>Arandarenk</b:First>
          </b:Person>
          <b:Person>
            <b:Last>Šošić</b:Last>
            <b:First>Vedran</b:First>
          </b:Person>
        </b:NameList>
      </b:Author>
    </b:Author>
    <b:RefOrder>3</b:RefOrder>
  </b:Source>
  <b:Source>
    <b:Tag>Rut03</b:Tag>
    <b:SourceType>ArticleInAPeriodical</b:SourceType>
    <b:Guid>{D89FE439-C86B-4F38-B5CF-13D666C6F2D0}</b:Guid>
    <b:Title>Analiza i prijedlozi poboljšanja tržišta rada u Hrvatskoj</b:Title>
    <b:Year>2003</b:Year>
    <b:Author>
      <b:Author>
        <b:NameList>
          <b:Person>
            <b:Last>Rutkowski</b:Last>
            <b:First>J.</b:First>
          </b:Person>
        </b:NameList>
      </b:Author>
    </b:Author>
    <b:PeriodicalTitle>Financijska teorija i praksa</b:PeriodicalTitle>
    <b:Pages>str. 495-513</b:Pages>
    <b:RefOrder>5</b:RefOrder>
  </b:Source>
  <b:Source>
    <b:Tag>Moj12</b:Tag>
    <b:SourceType>Report</b:SourceType>
    <b:Guid>{0B180A84-4C10-4EE3-AC84-A65B1227CBFF}</b:Guid>
    <b:Title>Stanje na tržištu rada</b:Title>
    <b:Year>2012</b:Year>
    <b:Author>
      <b:Author>
        <b:Corporate>MojPosao</b:Corporate>
      </b:Author>
    </b:Author>
    <b:City>Zagreb</b:City>
    <b:Publisher>MojPosao</b:Publisher>
    <b:RefOrder>13</b:RefOrder>
  </b:Source>
  <b:Source>
    <b:Tag>Moj121</b:Tag>
    <b:SourceType>InternetSite</b:SourceType>
    <b:Guid>{909174B9-E234-4B44-B8B7-6ED23A0E4B32}</b:Guid>
    <b:Author>
      <b:Author>
        <b:Corporate>MojPosao</b:Corporate>
      </b:Author>
    </b:Author>
    <b:Title>Plaće u RH</b:Title>
    <b:Year>2012</b:Year>
    <b:Publisher>MojPosao</b:Publisher>
    <b:InternetSiteTitle>MojPosao</b:InternetSiteTitle>
    <b:Month>rujan</b:Month>
    <b:YearAccessed>2012</b:YearAccessed>
    <b:MonthAccessed>studeni</b:MonthAccessed>
    <b:URL>http://www.moj-posao.net/</b:URL>
    <b:RefOrder>14</b:RefOrder>
  </b:Source>
  <b:Source>
    <b:Tag>Bla02</b:Tag>
    <b:SourceType>Book</b:SourceType>
    <b:Guid>{8BBA5F14-F815-4629-B6AB-613BDD4EC771}</b:Guid>
    <b:Title>Planning local economic development: Theory and practice</b:Title>
    <b:Year>2002</b:Year>
    <b:Author>
      <b:Author>
        <b:NameList>
          <b:Person>
            <b:Last>Blakely</b:Last>
            <b:First>E.J.</b:First>
          </b:Person>
          <b:Person>
            <b:Last>Bradshaw</b:Last>
            <b:First>T.K</b:First>
          </b:Person>
        </b:NameList>
      </b:Author>
    </b:Author>
    <b:City>Thousands Oaks</b:City>
    <b:Publisher>Sage Publications</b:Publisher>
    <b:RefOrder>4</b:RefOrder>
  </b:Source>
  <b:Source>
    <b:Tag>PBl95</b:Tag>
    <b:SourceType>Book</b:SourceType>
    <b:Guid>{6337375C-AD9C-E045-BE28-34B7F395B880}</b:Guid>
    <b:Author>
      <b:Author>
        <b:NameList>
          <b:Person>
            <b:Last>Blair</b:Last>
            <b:First>John</b:First>
            <b:Middle>P.</b:Middle>
          </b:Person>
        </b:NameList>
      </b:Author>
    </b:Author>
    <b:Title>Local economic development</b:Title>
    <b:City>London</b:City>
    <b:Publisher>SAGE Publications</b:Publisher>
    <b:Year>1995</b:Year>
    <b:RefOrder>6</b:RefOrder>
  </b:Source>
  <b:Source>
    <b:Tag>Placeholder1</b:Tag>
    <b:SourceType>Book</b:SourceType>
    <b:Guid>{1237E47A-41A3-8A4B-B2DC-1188598B1613}</b:Guid>
    <b:Author>
      <b:Author>
        <b:NameList>
          <b:Person>
            <b:Last>Mclean</b:Last>
            <b:First>Mary</b:First>
            <b:Middle>L.</b:Middle>
          </b:Person>
          <b:Person>
            <b:Last>Voytek</b:Last>
            <b:First>Kenneth</b:First>
            <b:Middle>P.</b:Middle>
          </b:Person>
        </b:NameList>
      </b:Author>
    </b:Author>
    <b:Title>Razumjevanje vaše ekonomije: Korištenje analize za vođenje lokalnog strateškog planiranja</b:Title>
    <b:Publisher>MATE d.o.o., Zagreb</b:Publisher>
    <b:City>Zagreb</b:City>
    <b:Year>2009</b:Year>
    <b:ShortTitle>Razumjevanje vaše ekonomije</b:ShortTitle>
    <b:RefOrder>7</b:RefOrder>
  </b:Source>
  <b:Source>
    <b:Tag>Čav12</b:Tag>
    <b:SourceType>ArticleInAPeriodical</b:SourceType>
    <b:Guid>{41C556EB-5DCF-4970-B65A-8CD57A20A7F8}</b:Guid>
    <b:Title>Uloga gradova u regionalnom razvoju</b:Title>
    <b:Year>2012</b:Year>
    <b:Author>
      <b:Author>
        <b:NameList>
          <b:Person>
            <b:Last>Čavrak</b:Last>
            <b:First>Vladimir</b:First>
          </b:Person>
        </b:NameList>
      </b:Author>
    </b:Author>
    <b:PeriodicalTitle>Rifin</b:PeriodicalTitle>
    <b:RefOrder>8</b:RefOrder>
  </b:Source>
  <b:Source>
    <b:Tag>LMc92</b:Tag>
    <b:SourceType>Book</b:SourceType>
    <b:Guid>{D7685B7D-054E-974E-A3E0-C4CECE375650}</b:Guid>
    <b:Author>
      <b:Author>
        <b:NameList>
          <b:Person>
            <b:Last>Mclean</b:Last>
            <b:First>Mary</b:First>
            <b:Middle>L.</b:Middle>
          </b:Person>
          <b:Person>
            <b:Last>Voytek</b:Last>
            <b:First>Kenneth</b:First>
            <b:Middle>P.</b:Middle>
          </b:Person>
        </b:NameList>
      </b:Author>
    </b:Author>
    <b:Title>Razumjevanje vaše ekonomije: Korištenje analize za vođenje lokalnog strateškog planiranja</b:Title>
    <b:Publisher>MATE d.o.o., Zagreb</b:Publisher>
    <b:City>Zagreb</b:City>
    <b:Year>2009</b:Year>
    <b:ShortTitle>Razumjevanje vaše ekonomije</b:ShortTitle>
    <b:RefOrder>15</b:RefOrder>
  </b:Source>
  <b:Source>
    <b:Tag>Hus93</b:Tag>
    <b:SourceType>Report</b:SourceType>
    <b:Guid>{3ED6BB3C-D226-C943-9B5D-F2410AE77C48}</b:Guid>
    <b:Author>
      <b:Author>
        <b:NameList>
          <b:Person>
            <b:Last>Hustedde</b:Last>
            <b:First>Ronald</b:First>
            <b:Middle>J.</b:Middle>
          </b:Person>
          <b:Person>
            <b:Last>Shaffer</b:Last>
            <b:First>Ron</b:First>
          </b:Person>
          <b:Person>
            <b:Last>Pulver</b:Last>
            <b:First>Glen</b:First>
          </b:Person>
        </b:NameList>
      </b:Author>
    </b:Author>
    <b:Title>Community Econmic Analyses: A How To Manualn</b:Title>
    <b:City>Ames</b:City>
    <b:Publisher>North Central Regional Center for Rural Development</b:Publisher>
    <b:Year>1993</b:Year>
    <b:RefOrder>9</b:RefOrder>
  </b:Source>
  <b:Source>
    <b:Tag>Wol96</b:Tag>
    <b:SourceType>JournalArticle</b:SourceType>
    <b:Guid>{32BA6E04-E576-9C49-AEC6-91F2A6CE39D4}</b:Guid>
    <b:Author>
      <b:Author>
        <b:NameList>
          <b:Person>
            <b:Last>Wolman</b:Last>
            <b:First>Harold</b:First>
          </b:Person>
          <b:Person>
            <b:Last>Spitzley</b:Last>
            <b:First>David</b:First>
          </b:Person>
        </b:NameList>
      </b:Author>
    </b:Author>
    <b:Title>The politics of local economic development</b:Title>
    <b:Year>1996</b:Year>
    <b:Pages>115-148</b:Pages>
    <b:JournalName>Economic Development Quarterly</b:JournalName>
    <b:RefOrder>10</b:RefOrder>
  </b:Source>
  <b:Source>
    <b:Tag>Mrn00</b:Tag>
    <b:SourceType>BookSection</b:SourceType>
    <b:Guid>{43452D25-A9F8-FD4F-847C-A26649EB9662}</b:Guid>
    <b:Author>
      <b:Author>
        <b:NameList>
          <b:Person>
            <b:Last>Mrnjavac</b:Last>
            <b:First>Željko</b:First>
          </b:Person>
          <b:Person>
            <b:Last>Pašalić</b:Last>
            <b:First>Želimir</b:First>
          </b:Person>
        </b:NameList>
      </b:Author>
      <b:BookAuthor>
        <b:NameList>
          <b:Person>
            <b:Last>Derado</b:Last>
            <b:First>Dražen</b:First>
          </b:Person>
          <b:Person>
            <b:Last>Grubišić</b:Last>
            <b:First>Dragan</b:First>
          </b:Person>
          <b:Person>
            <b:Last>Mrnjavac</b:Last>
            <b:First>Željko</b:First>
          </b:Person>
          <b:Person>
            <b:Last>Pašalić</b:Last>
            <b:First>Želimir</b:First>
          </b:Person>
          <b:Person>
            <b:Last>Vidučić</b:Last>
            <b:First>Ljiljana</b:First>
          </b:Person>
        </b:NameList>
      </b:BookAuthor>
    </b:Author>
    <b:Title>Lokalni sustav malih poduzeća i gospodarski razvitak</b:Title>
    <b:City>Split</b:City>
    <b:Publisher>Ekonomski fakultet Split</b:Publisher>
    <b:Year>2000</b:Year>
    <b:BookTitle>Lokalni sustavi malih poduzeća</b:BookTitle>
    <b:RefOrder>11</b:RefOrder>
  </b:Source>
  <b:Source>
    <b:Tag>RezerviranoMjesto2</b:Tag>
    <b:SourceType>Book</b:SourceType>
    <b:Guid>{83F07B5C-CC28-8F47-A16C-769E1EC34B8D}</b:Guid>
    <b:Author>
      <b:Author>
        <b:NameList>
          <b:Person>
            <b:Last>Blakely</b:Last>
            <b:First>Edward</b:First>
            <b:Middle>J.</b:Middle>
          </b:Person>
          <b:Person>
            <b:Last>Green Leigh</b:Last>
            <b:First>Nancy</b:First>
          </b:Person>
        </b:NameList>
      </b:Author>
    </b:Author>
    <b:Title>Planning local economic development; theory and practice</b:Title>
    <b:City>Thousand Oaks</b:City>
    <b:CountryRegion>California</b:CountryRegion>
    <b:Publisher>SAGE Publications, Inc.</b:Publisher>
    <b:Year>2010</b:Year>
    <b:Edition>4th Edition</b:Edition>
    <b:RefOrder>16</b:RefOrder>
  </b:Source>
  <b:Source>
    <b:Tag>Hrv11</b:Tag>
    <b:SourceType>Book</b:SourceType>
    <b:Guid>{20D57798-2619-42AD-86F0-9D6A6D16C048}</b:Guid>
    <b:Title>Gospodarstvo i komora u Zadru 1806.-2011.</b:Title>
    <b:Year>2011.</b:Year>
    <b:Author>
      <b:Author>
        <b:Corporate>Hrvatska gospodarska komora, ŽK Zadar</b:Corporate>
      </b:Author>
    </b:Author>
    <b:City>Zadar</b:City>
    <b:Publisher>HGK</b:Publisher>
    <b:RefOrder>17</b:RefOrder>
  </b:Source>
  <b:Source>
    <b:Tag>Ale09</b:Tag>
    <b:SourceType>Book</b:SourceType>
    <b:Guid>{0B25FE51-C311-4A56-8B6F-56156AC62870}</b:Guid>
    <b:Author>
      <b:Author>
        <b:NameList>
          <b:Person>
            <b:Last>Đerić</b:Last>
            <b:First>Aleksandar</b:First>
          </b:Person>
        </b:NameList>
      </b:Author>
    </b:Author>
    <b:Title>Kreativne industrije i ekonomija znanja</b:Title>
    <b:Year>2009.</b:Year>
    <b:City>Beograd</b:City>
    <b:Publisher>ACADEMICA – Akademska grupa</b:Publisher>
    <b:RefOrder>18</b:RefOrder>
  </b:Source>
</b:Sources>
</file>

<file path=customXml/itemProps1.xml><?xml version="1.0" encoding="utf-8"?>
<ds:datastoreItem xmlns:ds="http://schemas.openxmlformats.org/officeDocument/2006/customXml" ds:itemID="{DF5E47AD-30A5-4CD6-B406-28F34150F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71726</TotalTime>
  <Pages>57</Pages>
  <Words>16931</Words>
  <Characters>96512</Characters>
  <Application>Microsoft Office Word</Application>
  <DocSecurity>0</DocSecurity>
  <Lines>804</Lines>
  <Paragraphs>226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113217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Šime</dc:creator>
  <cp:lastModifiedBy>Šime</cp:lastModifiedBy>
  <cp:revision>414</cp:revision>
  <cp:lastPrinted>2012-12-05T13:54:00Z</cp:lastPrinted>
  <dcterms:created xsi:type="dcterms:W3CDTF">2012-09-21T08:34:00Z</dcterms:created>
  <dcterms:modified xsi:type="dcterms:W3CDTF">2013-03-20T09:47:00Z</dcterms:modified>
</cp:coreProperties>
</file>